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50.png" ContentType="image/png"/>
  <Override PartName="/word/media/rId43.png" ContentType="image/png"/>
  <Override PartName="/word/media/rId63.png" ContentType="image/png"/>
  <Override PartName="/word/media/rId33.png" ContentType="image/png"/>
  <Override PartName="/word/media/rId39.png" ContentType="image/png"/>
  <Override PartName="/word/media/rId91.png" ContentType="image/png"/>
  <Override PartName="/word/media/rId177.png" ContentType="image/png"/>
  <Override PartName="/word/media/rId176.png" ContentType="image/png"/>
  <Override PartName="/word/media/rId172.png" ContentType="image/png"/>
  <Override PartName="/word/media/rId171.png" ContentType="image/png"/>
  <Override PartName="/word/media/rId80.png" ContentType="image/png"/>
  <Override PartName="/word/media/rId76.png" ContentType="image/png"/>
  <Override PartName="/word/media/rId78.png" ContentType="image/png"/>
  <Override PartName="/word/media/rId79.png" ContentType="image/png"/>
  <Override PartName="/word/media/rId74.png" ContentType="image/png"/>
  <Override PartName="/word/media/rId82.png" ContentType="image/png"/>
  <Override PartName="/word/media/rId185.png" ContentType="image/png"/>
  <Override PartName="/word/media/rId123.png" ContentType="image/png"/>
  <Override PartName="/word/media/rId120.png" ContentType="image/png"/>
  <Override PartName="/word/media/rId118.png" ContentType="image/png"/>
  <Override PartName="/word/media/rId178.png" ContentType="image/png"/>
  <Override PartName="/word/media/rId113.png" ContentType="image/png"/>
  <Override PartName="/word/media/rId116.png" ContentType="image/png"/>
  <Override PartName="/word/media/rId109.png" ContentType="image/png"/>
  <Override PartName="/word/media/rId111.png" ContentType="image/png"/>
  <Override PartName="/word/media/rId101.png" ContentType="image/png"/>
  <Override PartName="/word/media/rId105.png" ContentType="image/png"/>
  <Override PartName="/word/media/rId103.png" ContentType="image/png"/>
  <Override PartName="/word/media/rId184.png" ContentType="image/png"/>
  <Override PartName="/word/media/rId183.png" ContentType="image/png"/>
  <Override PartName="/word/media/rId65.png" ContentType="image/png"/>
  <Override PartName="/word/media/rId66.png" ContentType="image/png"/>
  <Override PartName="/word/media/rId162.png" ContentType="image/png"/>
  <Override PartName="/word/media/rId161.png" ContentType="image/png"/>
  <Override PartName="/word/media/rId160.png" ContentType="image/png"/>
  <Override PartName="/word/media/rId159.png" ContentType="image/png"/>
  <Override PartName="/word/media/rId59.png" ContentType="image/png"/>
  <Override PartName="/word/media/rId57.png" ContentType="image/png"/>
  <Override PartName="/word/media/rId157.png" ContentType="image/png"/>
  <Override PartName="/word/media/rId166.png" ContentType="image/png"/>
  <Override PartName="/word/media/rId125.png" ContentType="image/png"/>
  <Override PartName="/word/media/rId169.png" ContentType="image/png"/>
  <Override PartName="/word/media/rId168.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quantity</w:t>
      </w:r>
      <w:r>
        <w:t xml:space="preserve"> </w:t>
      </w:r>
      <w:r>
        <w:t xml:space="preserve">(as</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quality</w:t>
      </w:r>
      <w:r>
        <w:t xml:space="preserve"> </w:t>
      </w:r>
      <w:r>
        <w:t xml:space="preserve">(via</w:t>
      </w:r>
      <w:r>
        <w:t xml:space="preserve"> </w:t>
      </w:r>
      <w:r>
        <w:t xml:space="preserve">UV-Vis</w:t>
      </w:r>
      <w:r>
        <w:t xml:space="preserve"> </w:t>
      </w:r>
      <w:r>
        <w:t xml:space="preserve">spectroscopy)</w:t>
      </w:r>
      <w:r>
        <w:t xml:space="preserve"> </w:t>
      </w:r>
      <w:r>
        <w:t xml:space="preserve">across</w:t>
      </w:r>
      <w:r>
        <w:t xml:space="preserve"> </w:t>
      </w:r>
      <w:r>
        <w:t xml:space="preserve">the</w:t>
      </w:r>
      <w:r>
        <w:t xml:space="preserve"> </w:t>
      </w:r>
      <w:r>
        <w:t xml:space="preserve">Leech</w:t>
      </w:r>
      <w:r>
        <w:t xml:space="preserve"> </w:t>
      </w:r>
      <w:r>
        <w:t xml:space="preserve">River</w:t>
      </w:r>
      <w:r>
        <w:t xml:space="preserve"> </w:t>
      </w:r>
      <w:r>
        <w:t xml:space="preserve">watershed,</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Key points:</w:t>
      </w:r>
    </w:p>
    <w:p>
      <w:pPr>
        <w:pStyle w:val="Compact"/>
        <w:numPr>
          <w:numId w:val="1001"/>
          <w:ilvl w:val="0"/>
        </w:numPr>
      </w:pPr>
      <w:r>
        <w:t xml:space="preserve">refined method of vertical Rack passive sampling of rising stage in streams</w:t>
      </w:r>
    </w:p>
    <w:p>
      <w:pPr>
        <w:pStyle w:val="Compact"/>
        <w:numPr>
          <w:numId w:val="1001"/>
          <w:ilvl w:val="0"/>
        </w:numPr>
      </w:pPr>
      <w:r>
        <w:t xml:space="preserve">there were seasonal differences in spatial patterns to NOM character, although the dry and wet season mean concentrations were the same.</w:t>
      </w:r>
    </w:p>
    <w:p>
      <w:pPr>
        <w:pStyle w:val="Compact"/>
        <w:numPr>
          <w:numId w:val="1001"/>
          <w:ilvl w:val="0"/>
        </w:numPr>
      </w:pPr>
      <w:r>
        <w:t xml:space="preserve">mixing and reservoir effects will change riverine water quality prior to intake at the tower</w:t>
      </w:r>
    </w:p>
    <w:p>
      <w:pPr>
        <w:pStyle w:val="FirstParagraph"/>
      </w:pPr>
      <w:r>
        <w:t xml:space="preserve"> </w:t>
      </w:r>
    </w:p>
    <w:p>
      <w:pPr>
        <w:pStyle w:val="BodyText"/>
      </w:pPr>
      <w:r>
        <w:t xml:space="preserve">…</w:t>
      </w:r>
      <w:r>
        <w:t xml:space="preserve"> </w:t>
      </w:r>
      <w:r>
        <w:t xml:space="preserve">Streams are intrinsically linked to their watersheds through dynamic biotic-abiotic interactions and hydroclimatic relationships; as a result, aqueous biogeochemicals like NOM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r>
        <w:br/>
      </w:r>
      <w:r>
        <w:t xml:space="preserve">…</w:t>
      </w:r>
    </w:p>
    <w:p>
      <w:pPr>
        <w:pStyle w:val="BodyText"/>
      </w:pPr>
      <w:r>
        <w:t xml:space="preserve"> </w:t>
      </w:r>
    </w:p>
    <w:p>
      <w:pPr>
        <w:pStyle w:val="BodyText"/>
      </w:pPr>
      <w:r>
        <w:t xml:space="preserve">…</w:t>
      </w:r>
    </w:p>
    <w:p>
      <w:pPr>
        <w:pStyle w:val="BodyText"/>
      </w:pPr>
      <w:r>
        <w:t xml:space="preserve">The sampling period spanned sixteen months, from October 2018 to February 2020. Seasons were defined as</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and were distinguished by the activity of passive Vertical Rack sample collection. The wet season was characterized by conditions that generated event responses which triggered rising-stage sample collection in the six Leech WSA monitoring site streams (Chapter 2). Based on this definition of seasons, Vertical Racks collected rising limb samples only in the wet season (fall/winter/spring) while Grab samples were collected throughout the entire sampling period. During events, Grab samples were collected prior to stream rise, on the falling limb or between events, but not on the rising limb (not by design, but by happenstance). Sampling began after the start of the 2018/2019 wet season, which extended until mid-May 2019. The dry season spanned from mid-May to late September 2019, the start of the 2019/2020 wet season.</w:t>
      </w:r>
    </w:p>
    <w:p>
      <w:pPr>
        <w:pStyle w:val="BodyText"/>
      </w:pPr>
      <w:r>
        <w:t xml:space="preserve">…</w:t>
      </w:r>
    </w:p>
    <w:p>
      <w:pPr>
        <w:pStyle w:val="BodyText"/>
      </w:pPr>
      <w:r>
        <w:t xml:space="preserve">Quantifying the organic carbon that forms NOM’s backbone is a proxy for the quantity of complex organic assemblies that comprises NOM. The molecular structure of NOM (i.e. it’s quality) can vary from large, highly aromatic compounds to smaller aliphatic molecules and differences can be attributed to the source material. Terrestrial humic substances (i.e. allochthonous NOM) tends to be higher molecular weight, larger and more aromatic in structure; while in-stream sources of NOM (i.e. autochthonous NOM), such as algae, are typically more aliphatic in structure. In this research, the quantity of aqueous NOM was measured as the concentration of dissolved organic carbon (DOC) in each sample. The molecular quality of NOM was assessed by UV-Vis spectrophotometry. The specific absorbance coefficient at 254 nm wavelength (SAC</w:t>
      </w:r>
      <w:r>
        <w:rPr>
          <w:vertAlign w:val="subscript"/>
        </w:rPr>
        <w:t xml:space="preserve">254</w:t>
      </w:r>
      <w:r>
        <w:t xml:space="preserve">) was used as an indicator of NOM molecular aromaticity and reactivity (Appendix VVVVVV;</w:t>
      </w:r>
      <w:r>
        <w:t xml:space="preserve"> </w:t>
      </w:r>
      <w:r>
        <w:t xml:space="preserve">Weishaar et al. (</w:t>
      </w:r>
      <w:hyperlink w:anchor="ref-Weishaar2003">
        <w:r>
          <w:rPr>
            <w:rStyle w:val="Hyperlink"/>
          </w:rPr>
          <w:t xml:space="preserve">2003</w:t>
        </w:r>
      </w:hyperlink>
      <w:r>
        <w:t xml:space="preserve">)</w:t>
      </w:r>
      <w:r>
        <w:t xml:space="preserve">;</w:t>
      </w:r>
      <w:r>
        <w:t xml:space="preserve"> </w:t>
      </w:r>
      <w:r>
        <w:t xml:space="preserve">Vidon, Wagner, and Soyeux (</w:t>
      </w:r>
      <w:hyperlink w:anchor="ref-Vidon2008">
        <w:r>
          <w:rPr>
            <w:rStyle w:val="Hyperlink"/>
          </w:rPr>
          <w:t xml:space="preserve">2008</w:t>
        </w:r>
      </w:hyperlink>
      <w:r>
        <w:t xml:space="preserve">)</w:t>
      </w:r>
      <w:r>
        <w:t xml:space="preserve">;</w:t>
      </w:r>
      <w:r>
        <w:t xml:space="preserve"> </w:t>
      </w:r>
      <w:r>
        <w:t xml:space="preserve">Abbott et al. (</w:t>
      </w:r>
      <w:hyperlink w:anchor="ref-Abbott2018">
        <w:r>
          <w:rPr>
            <w:rStyle w:val="Hyperlink"/>
          </w:rPr>
          <w:t xml:space="preserve">2018</w:t>
        </w:r>
      </w:hyperlink>
      <w:r>
        <w:t xml:space="preserve">)</w:t>
      </w:r>
      <w:r>
        <w:t xml:space="preserve">), and the quotient of SAC at 250 nm and 365 nm (E</w:t>
      </w:r>
      <w:r>
        <w:rPr>
          <w:vertAlign w:val="subscript"/>
        </w:rPr>
        <w:t xml:space="preserve">2</w:t>
      </w:r>
      <w:r>
        <w:t xml:space="preserve">:E</w:t>
      </w:r>
      <w:r>
        <w:rPr>
          <w:vertAlign w:val="subscript"/>
        </w:rPr>
        <w:t xml:space="preserve">3</w:t>
      </w:r>
      <w:r>
        <w:t xml:space="preserve">) was used to indicate (inversely)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w:t>
      </w:r>
    </w:p>
    <w:p>
      <w:pPr>
        <w:pStyle w:val="BodyText"/>
      </w:pPr>
      <w:r>
        <w:rPr>
          <w:i/>
          <w:b/>
        </w:rPr>
        <w:t xml:space="preserve">to be updated following completion of results</w:t>
      </w:r>
    </w:p>
    <w:p>
      <w:pPr>
        <w:pStyle w:val="BodyText"/>
      </w:pPr>
      <w:r>
        <w:t xml:space="preserve">Monitoring source water quality and hydrologic dynamics is a crucial part of a multi-barrier approach to clean drinking water.</w:t>
      </w:r>
      <w:r>
        <w:t xml:space="preserve"> </w:t>
      </w:r>
      <w:r>
        <w:t xml:space="preserve">In a riverine system, hydrochemical pulses have a range of magnitudes, timings and relationships amongst sub-catchments.</w:t>
      </w:r>
      <w:r>
        <w:t xml:space="preserve"> </w:t>
      </w:r>
      <w:r>
        <w:t xml:space="preserve">As the majority of drinking water in Canada originates in forested headwaters, forest management is intimately tied to drinking water supplies for many communities. There are many ways in which forest management can effect the hydrology of a catchment, as well as the water quality. However, without a baseline understanding of hydrochemical dynamics, it’s difficult to say whether observations fit within baseline variability or indicate a departure from a catchment’s range due to forest prescriptions.</w:t>
      </w:r>
    </w:p>
    <w:p>
      <w:pPr>
        <w:pStyle w:val="BodyText"/>
      </w:pPr>
      <w:r>
        <w:t xml:space="preserve">As part of the NSERC</w:t>
      </w:r>
      <w:r>
        <w:t xml:space="preserve"> </w:t>
      </w:r>
      <w:r>
        <w:t xml:space="preserve">‘</w:t>
      </w:r>
      <w:r>
        <w:t xml:space="preserve">forWater</w:t>
      </w:r>
      <w:r>
        <w:t xml:space="preserve">’</w:t>
      </w:r>
      <w:r>
        <w:t xml:space="preserve"> </w:t>
      </w:r>
      <w:r>
        <w:t xml:space="preserve">Network for Forested Drinking Water Source Protection Technologies, this research was conducted in partnership with a regional protected water supply to characterize the relative ranges of hydrochemical dynamics and the syncrony of rainfall response among subbasins. Six subbasin sites were equipped with vertical sampling racks to continuously log river stage and passively collect water samples on the rising limb of the hydrograph. Samples were analyzed for dissolved organic carbon (DOC) and dissolved organic matter (DOM) through high temperature combustion and UV-Vis spectroscopy (respectively) to assess landscape connectivity, and a subset of samples were analyzed for a suite of metals to assess DOM transport relationships.</w:t>
      </w:r>
    </w:p>
    <w:p>
      <w:pPr>
        <w:pStyle w:val="BodyText"/>
      </w:pPr>
      <w:r>
        <w:t xml:space="preserve">As a case study, understanding the baseline of hydrochemical dynamics in this protected water supply area can help pave the way for future experimental forest treatments, such as preventative forest fuel management, and can help to anticipate changes in treatment requirements due to hydrodynamic forcing across the watershed. More broadly, these analyses add to our understanding of</w:t>
      </w:r>
      <w:r>
        <w:t xml:space="preserve"> </w:t>
      </w:r>
      <w:r>
        <w:t xml:space="preserve">“</w:t>
      </w:r>
      <w:r>
        <w:t xml:space="preserve">natural</w:t>
      </w:r>
      <w:r>
        <w:t xml:space="preserve">”</w:t>
      </w:r>
      <w:r>
        <w:t xml:space="preserve"> </w:t>
      </w:r>
      <w:r>
        <w:t xml:space="preserve">variability across a recently undisturbed second growth forested catchment.</w:t>
      </w:r>
    </w:p>
    <w:p>
      <w:pPr>
        <w:pStyle w:val="BodyText"/>
      </w:pPr>
      <w:r>
        <w:t xml:space="preserve">This research explored the spatial and temporal dynamics of hydrochemcial synchrony</w:t>
      </w:r>
    </w:p>
    <w:p>
      <w:r>
        <w:pict>
          <v:rect style="width:0;height:1.5pt" o:hralign="center" o:hrstd="t" o:hr="t"/>
        </w:pict>
      </w:r>
    </w:p>
    <w:p>
      <w:pPr>
        <w:pStyle w:val="FirstParagraph"/>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2"/>
          <w:ilvl w:val="0"/>
        </w:numPr>
      </w:pPr>
      <w:r>
        <w:t xml:space="preserve">TOC</w:t>
      </w:r>
    </w:p>
    <w:p>
      <w:pPr>
        <w:pStyle w:val="Compact"/>
        <w:numPr>
          <w:numId w:val="1002"/>
          <w:ilvl w:val="0"/>
        </w:numPr>
      </w:pPr>
      <w:r>
        <w:t xml:space="preserve">LOT</w:t>
      </w:r>
    </w:p>
    <w:p>
      <w:pPr>
        <w:pStyle w:val="Compact"/>
        <w:numPr>
          <w:numId w:val="1002"/>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crk</w:t>
            </w:r>
          </w:p>
        </w:tc>
        <w:tc>
          <w:p>
            <w:pPr>
              <w:pStyle w:val="Compact"/>
              <w:jc w:val="left"/>
            </w:pPr>
            <w:r>
              <w:t xml:space="preserve">creek</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r>
        <w:tc>
          <w:p>
            <w:pPr>
              <w:pStyle w:val="Compact"/>
              <w:jc w:val="left"/>
            </w:pPr>
            <w:r>
              <w:t xml:space="preserve">WSA</w:t>
            </w:r>
          </w:p>
        </w:tc>
        <w:tc>
          <w:p>
            <w:pPr>
              <w:pStyle w:val="Compact"/>
              <w:jc w:val="left"/>
            </w:pPr>
            <w:r>
              <w:t xml:space="preserve">Water Supply Area</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with over 85% of Canadians and approximately 80% of British Columbians depending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including slowing and filtering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advanced oxidative processes</w:t>
      </w:r>
      <w:r>
        <w:t xml:space="preserve"> </w:t>
      </w:r>
      <w:r>
        <w:t xml:space="preserve">(Levine, Yang, and Goodrich</w:t>
      </w:r>
      <w:r>
        <w:t xml:space="preserve"> </w:t>
      </w:r>
      <w:hyperlink w:anchor="ref-Levine2016">
        <w:r>
          <w:rPr>
            <w:rStyle w:val="Hyperlink"/>
          </w:rPr>
          <w:t xml:space="preserve">2016</w:t>
        </w:r>
      </w:hyperlink>
      <w:r>
        <w:t xml:space="preserve">; 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among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w:t>
      </w:r>
      <w:r>
        <w:t xml:space="preserve"> </w:t>
      </w:r>
      <w:r>
        <w:t xml:space="preserve">(Levine, Yang, and Goodrich</w:t>
      </w:r>
      <w:r>
        <w:t xml:space="preserve"> </w:t>
      </w:r>
      <w:hyperlink w:anchor="ref-Levine2016">
        <w:r>
          <w:rPr>
            <w:rStyle w:val="Hyperlink"/>
          </w:rPr>
          <w:t xml:space="preserve">2016</w:t>
        </w:r>
      </w:hyperlink>
      <w:r>
        <w:t xml:space="preserve">)</w:t>
      </w:r>
      <w:r>
        <w:t xml:space="preserve">,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a023054c7d90f9a148ca9bb87f291e71efc1eef"/>
      <w:r>
        <w:t xml:space="preserve">Aqueous natural organic matter (NOM)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(Kellerman et al.</w:t>
      </w:r>
      <w:r>
        <w:t xml:space="preserve"> </w:t>
      </w:r>
      <w:hyperlink w:anchor="ref-Kellerman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Therefore,</w:t>
      </w:r>
      <w:r>
        <w:t xml:space="preserve"> </w:t>
      </w:r>
      <w:r>
        <w:t xml:space="preserve">NOM concentration and character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can be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BodyText"/>
      </w:pPr>
      <w:r>
        <w:t xml:space="preserve">In addition to acting as a precursor for DBPs, DOC (therefore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 Kellerman et al.</w:t>
      </w:r>
      <w:r>
        <w:t xml:space="preserve"> </w:t>
      </w:r>
      <w:hyperlink w:anchor="ref-Kellerman2018">
        <w:r>
          <w:rPr>
            <w:rStyle w:val="Hyperlink"/>
          </w:rPr>
          <w:t xml:space="preserve">2018</w:t>
        </w:r>
      </w:hyperlink>
      <w:r>
        <w:t xml:space="preserve">; LaZerte</w:t>
      </w:r>
      <w:r>
        <w:t xml:space="preserve"> </w:t>
      </w:r>
      <w:hyperlink w:anchor="ref-LaZerte1991">
        <w:r>
          <w:rPr>
            <w:rStyle w:val="Hyperlink"/>
          </w:rPr>
          <w:t xml:space="preserve">1991</w:t>
        </w:r>
      </w:hyperlink>
      <w:r>
        <w:t xml:space="preserve">)</w:t>
      </w:r>
      <w:r>
        <w:t xml:space="preserve">.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(Levine, Yang, and Goodrich</w:t>
      </w:r>
      <w:r>
        <w:t xml:space="preserve"> </w:t>
      </w:r>
      <w:hyperlink w:anchor="ref-Levine2016">
        <w:r>
          <w:rPr>
            <w:rStyle w:val="Hyperlink"/>
          </w:rPr>
          <w:t xml:space="preserve">2016</w:t>
        </w:r>
      </w:hyperlink>
      <w:r>
        <w:t xml:space="preserve">; 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 molecular composition and physical structure of NOM influence its functionality and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DOC is a master variable.</w:t>
      </w:r>
    </w:p>
    <w:p>
      <w:pPr>
        <w:pStyle w:val="BodyText"/>
      </w:pPr>
      <w:r>
        <w:t xml:space="preserve"> </w:t>
      </w:r>
    </w:p>
    <w:p>
      <w:pPr>
        <w:pStyle w:val="Heading5"/>
      </w:pPr>
      <w:bookmarkStart w:id="29" w:name="X59ad23f69c693a4f9f8ff941d0905fa376616e4"/>
      <w:r>
        <w:t xml:space="preserve">Spectroscopic assessment of NOM molecular quality</w:t>
      </w:r>
      <w:bookmarkEnd w:id="29"/>
    </w:p>
    <w:p>
      <w:pPr>
        <w:pStyle w:val="FirstParagraph"/>
      </w:pPr>
      <w:r>
        <w:t xml:space="preserve">The molecular structure of NOM can be assessed through spectrophotometry so long as the molecules absorb ultraviolet (UV) or visible (Vis) light, which a physiochemical ability determined by molecular electronic structure. UV-Vis absorption requires the presence of a conjugated pi-bond system (i.e. a chromophore), which is common in aromatic molecules and often absent in aliphatic molecules. Therefore, UV-Vis absorption by NOM is inherently indicative of chromophoric composition and thus aromaticity. The wavelength of light absorption is proportional to the length of the molecule’s conjugated pi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w:t>
      </w:r>
    </w:p>
    <w:p>
      <w:pPr>
        <w:pStyle w:val="BodyText"/>
      </w:pPr>
      <w:r>
        <w:t xml:space="preserve"> </w:t>
      </w:r>
    </w:p>
    <w:p>
      <w:pPr>
        <w:pStyle w:val="BodyText"/>
      </w:pPr>
      <w:r>
        <w:t xml:space="preserve">Allochthonous NOM (i.e. humic substances) are more aromatic than aliphatic, thus the specific absorbance coefficient at 254 nm (SAC</w:t>
      </w:r>
      <w:r>
        <w:rPr>
          <w:vertAlign w:val="subscript"/>
        </w:rPr>
        <w:t xml:space="preserve">254</w:t>
      </w:r>
      <w:r>
        <w:t xml:space="preserve">, absorbance relative to pathlength) 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SUVA</w:t>
      </w:r>
      <w:r>
        <w:rPr>
          <w:vertAlign w:val="subscript"/>
        </w:rPr>
        <w:t xml:space="preserve">254</w:t>
      </w:r>
      <w:r>
        <w:t xml:space="preserve"> </w:t>
      </w:r>
      <w:r>
        <w:t xml:space="preserve">is the ratio of SAC</w:t>
      </w:r>
      <w:r>
        <w:rPr>
          <w:vertAlign w:val="subscript"/>
        </w:rPr>
        <w:t xml:space="preserve">254</w:t>
      </w:r>
      <w:r>
        <w:t xml:space="preserve"> </w:t>
      </w:r>
      <w:r>
        <w:t xml:space="preserve">normalized to a samples’ DOC concentration (SUVA</w:t>
      </w:r>
      <w:r>
        <w:rPr>
          <w:vertAlign w:val="subscript"/>
        </w:rPr>
        <w:t xml:space="preserve">254</w:t>
      </w:r>
      <w:r>
        <w:t xml:space="preserve"> </w:t>
      </w:r>
      <w:r>
        <w:t xml:space="preserve">= SAC</w:t>
      </w:r>
      <w:r>
        <w:rPr>
          <w:vertAlign w:val="subscript"/>
        </w:rPr>
        <w:t xml:space="preserve">254</w:t>
      </w:r>
      <w:r>
        <w:t xml:space="preserve">/DOC)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NOM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SAC</w:t>
      </w:r>
      <w:r>
        <w:rPr>
          <w:vertAlign w:val="subscript"/>
        </w:rPr>
        <w:t xml:space="preserve">254</w:t>
      </w:r>
      <w:r>
        <w:t xml:space="preserve"> </w:t>
      </w:r>
      <w:r>
        <w:t xml:space="preserve">or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absorbance 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NOM aromaticity and size are important when considering treatability factors such as biofouling, filter clogging and interference with UV disinfection.</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NOM exhibits dynamic variability across watersheds, its quality and quantity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quantity and quality. For example, the molecular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(57%-86%)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intensified precipitation, earlier or more intense freshet conditions, or changes in subsurface flow and connectivity</w:t>
      </w:r>
      <w:r>
        <w:t xml:space="preserve"> </w:t>
      </w:r>
      <w:r>
        <w:t xml:space="preserve">(Jiménez Cisneros et al.</w:t>
      </w:r>
      <w:r>
        <w:t xml:space="preserve"> </w:t>
      </w:r>
      <w:hyperlink w:anchor="ref-JimenezCisneros2014">
        <w:r>
          <w:rPr>
            <w:rStyle w:val="Hyperlink"/>
          </w:rPr>
          <w:t xml:space="preserve">2014</w:t>
        </w:r>
      </w:hyperlink>
      <w:r>
        <w:t xml:space="preserve">)</w:t>
      </w:r>
      <w:r>
        <w:t xml:space="preserve">. Thus, drinking water treatment challenges could arise in response to more variable source water conditions</w:t>
      </w:r>
      <w:r>
        <w:t xml:space="preserve"> </w:t>
      </w:r>
      <w:r>
        <w:t xml:space="preserve">(Emelko et al.</w:t>
      </w:r>
      <w:r>
        <w:t xml:space="preserve"> </w:t>
      </w:r>
      <w:hyperlink w:anchor="ref-Emelko2011">
        <w:r>
          <w:rPr>
            <w:rStyle w:val="Hyperlink"/>
          </w:rPr>
          <w:t xml:space="preserve">2011</w:t>
        </w:r>
      </w:hyperlink>
      <w:r>
        <w:t xml:space="preserve">)</w:t>
      </w:r>
      <w:r>
        <w:t xml:space="preserve">, and DOC flux is expected to increase with climate change</w:t>
      </w:r>
      <w:r>
        <w:t xml:space="preserve"> </w:t>
      </w:r>
      <w:r>
        <w:t xml:space="preserve">(Rasilo et al.</w:t>
      </w:r>
      <w:r>
        <w:t xml:space="preserve"> </w:t>
      </w:r>
      <w:hyperlink w:anchor="ref-Rasilo2015">
        <w:r>
          <w:rPr>
            <w:rStyle w:val="Hyperlink"/>
          </w:rPr>
          <w:t xml:space="preserve">2015</w:t>
        </w:r>
      </w:hyperlink>
      <w:r>
        <w:t xml:space="preserve">)</w:t>
      </w:r>
      <w:r>
        <w:t xml:space="preserve">.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w:t>
      </w:r>
      <w:r>
        <w:t xml:space="preserve"> </w:t>
      </w:r>
      <w:r>
        <w:t xml:space="preserve">(Emelko et al.</w:t>
      </w:r>
      <w:r>
        <w:t xml:space="preserve"> </w:t>
      </w:r>
      <w:hyperlink w:anchor="ref-Emelko2011">
        <w:r>
          <w:rPr>
            <w:rStyle w:val="Hyperlink"/>
          </w:rPr>
          <w:t xml:space="preserve">2011</w:t>
        </w:r>
      </w:hyperlink>
      <w:r>
        <w:t xml:space="preserve">)</w:t>
      </w:r>
      <w:r>
        <w:t xml:space="preserve">.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(starting around $3K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2015</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To gain baseline information in anticipation of Leech River water being used as supplemental drinking water supply, CRD hydrology and water quality monitoring programs for the Leech WSA began in 2017. Better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quality and quantity vary through space and time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DOC concentrations and UV-Vis spectral properties of NOM characteristics.</w:t>
      </w:r>
    </w:p>
    <w:p>
      <w:pPr>
        <w:pStyle w:val="BodyText"/>
      </w:pPr>
      <w:r>
        <w:t xml:space="preserve"> </w:t>
      </w:r>
    </w:p>
    <w:p>
      <w:pPr>
        <w:pStyle w:val="BodyText"/>
      </w:pPr>
      <w:r>
        <w:rPr>
          <w:b/>
        </w:rPr>
        <w:t xml:space="preserve">Research Question 2.</w:t>
      </w:r>
      <w:r>
        <w:t xml:space="preserve"> </w:t>
      </w:r>
      <w:r>
        <w:t xml:space="preserve">What are the primary drivers within watershed characteristics (e.g slope or land-cover) and hydroclimatic conditions (e.g. antecedent rain) for changes in NOM quantity and quality in the Leech watershed?</w:t>
      </w:r>
    </w:p>
    <w:p>
      <w:pPr>
        <w:pStyle w:val="BodyText"/>
      </w:pPr>
      <w:r>
        <w:rPr>
          <w:b/>
        </w:rPr>
        <w:t xml:space="preserve">Objective 2:</w:t>
      </w:r>
      <w:r>
        <w:t xml:space="preserve"> </w:t>
      </w:r>
      <w:r>
        <w:t xml:space="preserve">Explore relationships between water sample results of NOM quantity and quality to watershed characteristics and sampling conditions to identify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A combination of synoptic and event-based sampling was used to capture the broad spatial characteristics of aqueous NOM dynamics across the GVWSA. The sampling design considered both limitations in ability to manually collect data and resource constraints to sample continuously. This chapter details methods and foundational results that were common to all subsequent chapters.</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(crk) is the largest tributary (11.12 km</w:t>
      </w:r>
      <w:r>
        <w:rPr>
          <w:vertAlign w:val="superscript"/>
        </w:rPr>
        <w:t xml:space="preserve">2</w:t>
      </w:r>
      <w:r>
        <w:t xml:space="preserve"> </w:t>
      </w:r>
      <w:r>
        <w:t xml:space="preserve">basin) to Sooke Reservoir and Judge crk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crk and Chris crk sub-basins; Weeks sub-basin (11.52 km</w:t>
      </w:r>
      <w:r>
        <w:rPr>
          <w:vertAlign w:val="superscript"/>
        </w:rPr>
        <w:t xml:space="preserve">2</w:t>
      </w:r>
      <w:r>
        <w:t xml:space="preserve">) encompassed Weeks Lake and surrounding wetlands (Jordan Meadows fen), and Chris crk sub-basin (5.8 km</w:t>
      </w:r>
      <w:r>
        <w:rPr>
          <w:vertAlign w:val="superscript"/>
        </w:rPr>
        <w:t xml:space="preserve">2</w:t>
      </w:r>
      <w:r>
        <w:t xml:space="preserve">) included smaller Worley Lake. Below the confluence of Weeks and Chris crk is the Leech-head site (20.59 km</w:t>
      </w:r>
      <w:r>
        <w:rPr>
          <w:vertAlign w:val="superscript"/>
        </w:rPr>
        <w:t xml:space="preserve">2</w:t>
      </w:r>
      <w:r>
        <w:t xml:space="preserve"> </w:t>
      </w:r>
      <w:r>
        <w:t xml:space="preserve">sub-basin).</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synoptic sampling sites in the Leech and Sooke portions of Greater Victoria water supply areas</w:t>
      </w:r>
    </w:p>
    <w:tbl>
      <w:tblPr>
        <w:tblStyle w:val="Table"/>
        <w:tblW w:type="pct" w:w="4999.999999999999"/>
        <w:tblLook w:firstRow="1"/>
        <w:tblCaption w:val="Table 3: Watershed characteristics of synoptic sampling sites in the Leech and Sooke portions of Greater Victoria water supply areas"/>
      </w:tblPr>
      <w:tblGrid>
        <w:gridCol w:w="678"/>
        <w:gridCol w:w="339"/>
        <w:gridCol w:w="377"/>
        <w:gridCol w:w="565"/>
        <w:gridCol w:w="565"/>
        <w:gridCol w:w="792"/>
        <w:gridCol w:w="867"/>
        <w:gridCol w:w="678"/>
        <w:gridCol w:w="565"/>
        <w:gridCol w:w="1244"/>
        <w:gridCol w:w="1244"/>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Strahler order</w:t>
            </w:r>
          </w:p>
        </w:tc>
        <w:tc>
          <w:tcPr>
            <w:tcBorders>
              <w:bottom w:val="single"/>
            </w:tcBorders>
            <w:vAlign w:val="bottom"/>
          </w:tcPr>
          <w:p>
            <w:pPr>
              <w:pStyle w:val="Compact"/>
              <w:jc w:val="right"/>
            </w:pPr>
            <w:r>
              <w:t xml:space="preserve">Drainage km</w:t>
            </w:r>
            <w:r>
              <w:rPr>
                <w:vertAlign w:val="superscript"/>
              </w:rPr>
              <w:t xml:space="preserve">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right"/>
            </w:pPr>
            <w:r>
              <w:t xml:space="preserve">Slope median (degrees)</w:t>
            </w:r>
          </w:p>
        </w:tc>
        <w:tc>
          <w:tcPr>
            <w:tcBorders>
              <w:bottom w:val="single"/>
            </w:tcBorders>
            <w:vAlign w:val="bottom"/>
          </w:tcPr>
          <w:p>
            <w:pPr>
              <w:pStyle w:val="Compact"/>
              <w:jc w:val="right"/>
            </w:pPr>
            <w:r>
              <w:t xml:space="preserve">Wetland cover (%)</w:t>
            </w:r>
          </w:p>
        </w:tc>
        <w:tc>
          <w:tcPr>
            <w:tcBorders>
              <w:bottom w:val="single"/>
            </w:tcBorders>
            <w:vAlign w:val="bottom"/>
          </w:tcPr>
          <w:p>
            <w:pPr>
              <w:pStyle w:val="Compact"/>
              <w:jc w:val="right"/>
            </w:pPr>
            <w:r>
              <w:t xml:space="preserve">Open water (%)</w:t>
            </w:r>
          </w:p>
        </w:tc>
        <w:tc>
          <w:tcPr>
            <w:tcBorders>
              <w:bottom w:val="single"/>
            </w:tcBorders>
            <w:vAlign w:val="bottom"/>
          </w:tcPr>
          <w:p>
            <w:pPr>
              <w:pStyle w:val="Compact"/>
              <w:jc w:val="left"/>
            </w:pPr>
            <w:r>
              <w:t xml:space="preserve">Dominant parent material (%)</w:t>
            </w:r>
          </w:p>
        </w:tc>
        <w:tc>
          <w:tcPr>
            <w:tcBorders>
              <w:bottom w:val="single"/>
            </w:tcBorders>
            <w:vAlign w:val="bottom"/>
          </w:tcPr>
          <w:p>
            <w:pPr>
              <w:pStyle w:val="Compact"/>
              <w:jc w:val="left"/>
            </w:pPr>
            <w:r>
              <w:t xml:space="preserve">Secondary parent material (%)</w:t>
            </w:r>
          </w:p>
        </w:tc>
      </w:tr>
      <w:tr>
        <w:tc>
          <w:p>
            <w:pPr>
              <w:pStyle w:val="Compact"/>
              <w:jc w:val="left"/>
            </w:pPr>
            <w:r>
              <w:t xml:space="preserve">Weeks crk</w:t>
            </w:r>
          </w:p>
        </w:tc>
        <w:tc>
          <w:p>
            <w:pPr>
              <w:pStyle w:val="Compact"/>
              <w:jc w:val="right"/>
            </w:pPr>
            <w:r>
              <w:t xml:space="preserve">48.57592</w:t>
            </w:r>
          </w:p>
        </w:tc>
        <w:tc>
          <w:p>
            <w:pPr>
              <w:pStyle w:val="Compact"/>
              <w:jc w:val="right"/>
            </w:pPr>
            <w:r>
              <w:t xml:space="preserve">-123.8440</w:t>
            </w:r>
          </w:p>
        </w:tc>
        <w:tc>
          <w:p>
            <w:pPr>
              <w:pStyle w:val="Compact"/>
              <w:jc w:val="right"/>
            </w:pPr>
            <w:r>
              <w:t xml:space="preserve">3</w:t>
            </w:r>
          </w:p>
        </w:tc>
        <w:tc>
          <w:p>
            <w:pPr>
              <w:pStyle w:val="Compact"/>
              <w:jc w:val="right"/>
            </w:pPr>
            <w:r>
              <w:t xml:space="preserve">11.52</w:t>
            </w:r>
          </w:p>
        </w:tc>
        <w:tc>
          <w:p>
            <w:pPr>
              <w:pStyle w:val="Compact"/>
              <w:jc w:val="right"/>
            </w:pPr>
            <w:r>
              <w:t xml:space="preserve">521</w:t>
            </w:r>
          </w:p>
        </w:tc>
        <w:tc>
          <w:p>
            <w:pPr>
              <w:pStyle w:val="Compact"/>
              <w:jc w:val="right"/>
            </w:pPr>
            <w:r>
              <w:t xml:space="preserve">8</w:t>
            </w:r>
          </w:p>
        </w:tc>
        <w:tc>
          <w:p>
            <w:pPr>
              <w:pStyle w:val="Compact"/>
              <w:jc w:val="right"/>
            </w:pPr>
            <w:r>
              <w:t xml:space="preserve">4</w:t>
            </w:r>
          </w:p>
        </w:tc>
        <w:tc>
          <w:p>
            <w:pPr>
              <w:pStyle w:val="Compact"/>
              <w:jc w:val="right"/>
            </w:pPr>
            <w:r>
              <w:t xml:space="preserve">2.90</w:t>
            </w:r>
          </w:p>
        </w:tc>
        <w:tc>
          <w:p>
            <w:pPr>
              <w:pStyle w:val="Compact"/>
              <w:jc w:val="left"/>
            </w:pPr>
            <w:r>
              <w:t xml:space="preserve">Argillite Metagreywacke (64.2%)</w:t>
            </w:r>
          </w:p>
        </w:tc>
        <w:tc>
          <w:p>
            <w:pPr>
              <w:pStyle w:val="Compact"/>
              <w:jc w:val="left"/>
            </w:pPr>
            <w:r>
              <w:t xml:space="preserve">Chert Argillite Volcanic (22.2%)</w:t>
            </w:r>
          </w:p>
        </w:tc>
      </w:tr>
      <w:tr>
        <w:tc>
          <w:p>
            <w:pPr>
              <w:pStyle w:val="Compact"/>
              <w:jc w:val="left"/>
            </w:pPr>
            <w:r>
              <w:t xml:space="preserve">Chris crk</w:t>
            </w:r>
          </w:p>
        </w:tc>
        <w:tc>
          <w:p>
            <w:pPr>
              <w:pStyle w:val="Compact"/>
              <w:jc w:val="right"/>
            </w:pPr>
            <w:r>
              <w:t xml:space="preserve">48.57691</w:t>
            </w:r>
          </w:p>
        </w:tc>
        <w:tc>
          <w:p>
            <w:pPr>
              <w:pStyle w:val="Compact"/>
              <w:jc w:val="right"/>
            </w:pPr>
            <w:r>
              <w:t xml:space="preserve">-123.8400</w:t>
            </w:r>
          </w:p>
        </w:tc>
        <w:tc>
          <w:p>
            <w:pPr>
              <w:pStyle w:val="Compact"/>
              <w:jc w:val="right"/>
            </w:pPr>
            <w:r>
              <w:t xml:space="preserve">3</w:t>
            </w:r>
          </w:p>
        </w:tc>
        <w:tc>
          <w:p>
            <w:pPr>
              <w:pStyle w:val="Compact"/>
              <w:jc w:val="right"/>
            </w:pPr>
            <w:r>
              <w:t xml:space="preserve">5.90</w:t>
            </w:r>
          </w:p>
        </w:tc>
        <w:tc>
          <w:p>
            <w:pPr>
              <w:pStyle w:val="Compact"/>
              <w:jc w:val="right"/>
            </w:pPr>
            <w:r>
              <w:t xml:space="preserve">522</w:t>
            </w:r>
          </w:p>
        </w:tc>
        <w:tc>
          <w:p>
            <w:pPr>
              <w:pStyle w:val="Compact"/>
              <w:jc w:val="right"/>
            </w:pPr>
            <w:r>
              <w:t xml:space="preserve">10</w:t>
            </w:r>
          </w:p>
        </w:tc>
        <w:tc>
          <w:p>
            <w:pPr>
              <w:pStyle w:val="Compact"/>
              <w:jc w:val="right"/>
            </w:pPr>
            <w:r>
              <w:t xml:space="preserve">1</w:t>
            </w:r>
          </w:p>
        </w:tc>
        <w:tc>
          <w:p>
            <w:pPr>
              <w:pStyle w:val="Compact"/>
              <w:jc w:val="right"/>
            </w:pPr>
            <w:r>
              <w:t xml:space="preserve">0.60</w:t>
            </w:r>
          </w:p>
        </w:tc>
        <w:tc>
          <w:p>
            <w:pPr>
              <w:pStyle w:val="Compact"/>
              <w:jc w:val="left"/>
            </w:pPr>
            <w:r>
              <w:t xml:space="preserve">Chert Argillite Volcanic (55.1%)</w:t>
            </w:r>
          </w:p>
        </w:tc>
        <w:tc>
          <w:p>
            <w:pPr>
              <w:pStyle w:val="Compact"/>
              <w:jc w:val="left"/>
            </w:pPr>
            <w:r>
              <w:t xml:space="preserve">Wark Gneiss (44.9%)</w:t>
            </w:r>
          </w:p>
        </w:tc>
      </w:tr>
      <w:tr>
        <w:tc>
          <w:p>
            <w:pPr>
              <w:pStyle w:val="Compact"/>
              <w:jc w:val="left"/>
            </w:pPr>
            <w:r>
              <w:t xml:space="preserve">Leech head</w:t>
            </w:r>
          </w:p>
        </w:tc>
        <w:tc>
          <w:p>
            <w:pPr>
              <w:pStyle w:val="Compact"/>
              <w:jc w:val="right"/>
            </w:pPr>
            <w:r>
              <w:t xml:space="preserve">48.56660</w:t>
            </w:r>
          </w:p>
        </w:tc>
        <w:tc>
          <w:p>
            <w:pPr>
              <w:pStyle w:val="Compact"/>
              <w:jc w:val="right"/>
            </w:pPr>
            <w:r>
              <w:t xml:space="preserve">-123.8257</w:t>
            </w:r>
          </w:p>
        </w:tc>
        <w:tc>
          <w:p>
            <w:pPr>
              <w:pStyle w:val="Compact"/>
              <w:jc w:val="right"/>
            </w:pPr>
            <w:r>
              <w:t xml:space="preserve">4</w:t>
            </w:r>
          </w:p>
        </w:tc>
        <w:tc>
          <w:p>
            <w:pPr>
              <w:pStyle w:val="Compact"/>
              <w:jc w:val="right"/>
            </w:pPr>
            <w:r>
              <w:t xml:space="preserve">20.59</w:t>
            </w:r>
          </w:p>
        </w:tc>
        <w:tc>
          <w:p>
            <w:pPr>
              <w:pStyle w:val="Compact"/>
              <w:jc w:val="right"/>
            </w:pPr>
            <w:r>
              <w:t xml:space="preserve">476</w:t>
            </w:r>
          </w:p>
        </w:tc>
        <w:tc>
          <w:p>
            <w:pPr>
              <w:pStyle w:val="Compact"/>
              <w:jc w:val="right"/>
            </w:pPr>
            <w:r>
              <w:t xml:space="preserve">9</w:t>
            </w:r>
          </w:p>
        </w:tc>
        <w:tc>
          <w:p>
            <w:pPr>
              <w:pStyle w:val="Compact"/>
              <w:jc w:val="right"/>
            </w:pPr>
            <w:r>
              <w:t xml:space="preserve">3</w:t>
            </w:r>
          </w:p>
        </w:tc>
        <w:tc>
          <w:p>
            <w:pPr>
              <w:pStyle w:val="Compact"/>
              <w:jc w:val="right"/>
            </w:pPr>
            <w:r>
              <w:t xml:space="preserve">1.80</w:t>
            </w:r>
          </w:p>
        </w:tc>
        <w:tc>
          <w:p>
            <w:pPr>
              <w:pStyle w:val="Compact"/>
              <w:jc w:val="left"/>
            </w:pPr>
            <w:r>
              <w:t xml:space="preserve">Argillite Metagreywacke (42.1)</w:t>
            </w:r>
          </w:p>
        </w:tc>
        <w:tc>
          <w:p>
            <w:pPr>
              <w:pStyle w:val="Compact"/>
              <w:jc w:val="left"/>
            </w:pPr>
            <w:r>
              <w:t xml:space="preserve">Chert Argillite Volcanic (37.4%)</w:t>
            </w:r>
          </w:p>
        </w:tc>
      </w:tr>
      <w:tr>
        <w:tc>
          <w:p>
            <w:pPr>
              <w:pStyle w:val="Compact"/>
              <w:jc w:val="left"/>
            </w:pPr>
            <w:r>
              <w:t xml:space="preserve">Cragg crk</w:t>
            </w:r>
          </w:p>
        </w:tc>
        <w:tc>
          <w:p>
            <w:pPr>
              <w:pStyle w:val="Compact"/>
              <w:jc w:val="right"/>
            </w:pPr>
            <w:r>
              <w:t xml:space="preserve">48.54856</w:t>
            </w:r>
          </w:p>
        </w:tc>
        <w:tc>
          <w:p>
            <w:pPr>
              <w:pStyle w:val="Compact"/>
              <w:jc w:val="right"/>
            </w:pPr>
            <w:r>
              <w:t xml:space="preserve">-123.7714</w:t>
            </w:r>
          </w:p>
        </w:tc>
        <w:tc>
          <w:p>
            <w:pPr>
              <w:pStyle w:val="Compact"/>
              <w:jc w:val="right"/>
            </w:pPr>
            <w:r>
              <w:t xml:space="preserve">4</w:t>
            </w:r>
          </w:p>
        </w:tc>
        <w:tc>
          <w:p>
            <w:pPr>
              <w:pStyle w:val="Compact"/>
              <w:jc w:val="right"/>
            </w:pPr>
            <w:r>
              <w:t xml:space="preserve">28.06</w:t>
            </w:r>
          </w:p>
        </w:tc>
        <w:tc>
          <w:p>
            <w:pPr>
              <w:pStyle w:val="Compact"/>
              <w:jc w:val="right"/>
            </w:pPr>
            <w:r>
              <w:t xml:space="preserve">509</w:t>
            </w:r>
          </w:p>
        </w:tc>
        <w:tc>
          <w:p>
            <w:pPr>
              <w:pStyle w:val="Compact"/>
              <w:jc w:val="right"/>
            </w:pPr>
            <w:r>
              <w:t xml:space="preserve">9</w:t>
            </w:r>
          </w:p>
        </w:tc>
        <w:tc>
          <w:p>
            <w:pPr>
              <w:pStyle w:val="Compact"/>
              <w:jc w:val="right"/>
            </w:pPr>
            <w:r>
              <w:t xml:space="preserve">2</w:t>
            </w:r>
          </w:p>
        </w:tc>
        <w:tc>
          <w:p>
            <w:pPr>
              <w:pStyle w:val="Compact"/>
              <w:jc w:val="right"/>
            </w:pPr>
            <w:r>
              <w:t xml:space="preserve">0.90</w:t>
            </w:r>
          </w:p>
        </w:tc>
        <w:tc>
          <w:p>
            <w:pPr>
              <w:pStyle w:val="Compact"/>
              <w:jc w:val="left"/>
            </w:pPr>
            <w:r>
              <w:t xml:space="preserve">Wark Gneiss (77.6%)</w:t>
            </w:r>
          </w:p>
        </w:tc>
        <w:tc>
          <w:p>
            <w:pPr>
              <w:pStyle w:val="Compact"/>
              <w:jc w:val="left"/>
            </w:pPr>
            <w:r>
              <w:t xml:space="preserve">Chert Argillite Volcanic (22.4%)</w:t>
            </w:r>
          </w:p>
        </w:tc>
      </w:tr>
      <w:tr>
        <w:tc>
          <w:p>
            <w:pPr>
              <w:pStyle w:val="Compact"/>
              <w:jc w:val="left"/>
            </w:pPr>
            <w:r>
              <w:t xml:space="preserve">West Leech</w:t>
            </w:r>
          </w:p>
        </w:tc>
        <w:tc>
          <w:p>
            <w:pPr>
              <w:pStyle w:val="Compact"/>
              <w:jc w:val="right"/>
            </w:pPr>
            <w:r>
              <w:t xml:space="preserve">48.50635</w:t>
            </w:r>
          </w:p>
        </w:tc>
        <w:tc>
          <w:p>
            <w:pPr>
              <w:pStyle w:val="Compact"/>
              <w:jc w:val="right"/>
            </w:pPr>
            <w:r>
              <w:t xml:space="preserve">-123.7862</w:t>
            </w:r>
          </w:p>
        </w:tc>
        <w:tc>
          <w:p>
            <w:pPr>
              <w:pStyle w:val="Compact"/>
              <w:jc w:val="right"/>
            </w:pPr>
            <w:r>
              <w:t xml:space="preserve">4</w:t>
            </w:r>
          </w:p>
        </w:tc>
        <w:tc>
          <w:p>
            <w:pPr>
              <w:pStyle w:val="Compact"/>
              <w:jc w:val="right"/>
            </w:pPr>
            <w:r>
              <w:t xml:space="preserve">20.85</w:t>
            </w:r>
          </w:p>
        </w:tc>
        <w:tc>
          <w:p>
            <w:pPr>
              <w:pStyle w:val="Compact"/>
              <w:jc w:val="right"/>
            </w:pPr>
            <w:r>
              <w:t xml:space="preserve">248</w:t>
            </w:r>
          </w:p>
        </w:tc>
        <w:tc>
          <w:p>
            <w:pPr>
              <w:pStyle w:val="Compact"/>
              <w:jc w:val="right"/>
            </w:pPr>
            <w:r>
              <w:t xml:space="preserve">9</w:t>
            </w:r>
          </w:p>
        </w:tc>
        <w:tc>
          <w:p>
            <w:pPr>
              <w:pStyle w:val="Compact"/>
              <w:jc w:val="right"/>
            </w:pPr>
            <w:r>
              <w:t xml:space="preserve">0</w:t>
            </w:r>
          </w:p>
        </w:tc>
        <w:tc>
          <w:p>
            <w:pPr>
              <w:pStyle w:val="Compact"/>
              <w:jc w:val="right"/>
            </w:pPr>
            <w:r>
              <w:t xml:space="preserve">0.30</w:t>
            </w:r>
          </w:p>
        </w:tc>
        <w:tc>
          <w:p>
            <w:pPr>
              <w:pStyle w:val="Compact"/>
              <w:jc w:val="left"/>
            </w:pPr>
            <w:r>
              <w:t xml:space="preserve">Argillite Metagreywacke (76.8%)</w:t>
            </w:r>
          </w:p>
        </w:tc>
        <w:tc>
          <w:p>
            <w:pPr>
              <w:pStyle w:val="Compact"/>
              <w:jc w:val="left"/>
            </w:pPr>
            <w:r>
              <w:t xml:space="preserve">Metchosin Volcanics (16%)</w:t>
            </w:r>
          </w:p>
        </w:tc>
      </w:tr>
      <w:tr>
        <w:tc>
          <w:p>
            <w:pPr>
              <w:pStyle w:val="Compact"/>
              <w:jc w:val="left"/>
            </w:pPr>
            <w:r>
              <w:t xml:space="preserve">Leech Tunnel</w:t>
            </w:r>
          </w:p>
        </w:tc>
        <w:tc>
          <w:p>
            <w:pPr>
              <w:pStyle w:val="Compact"/>
              <w:jc w:val="right"/>
            </w:pPr>
            <w:r>
              <w:t xml:space="preserve">48.50690</w:t>
            </w:r>
          </w:p>
        </w:tc>
        <w:tc>
          <w:p>
            <w:pPr>
              <w:pStyle w:val="Compact"/>
              <w:jc w:val="right"/>
            </w:pPr>
            <w:r>
              <w:t xml:space="preserve">-123.7680</w:t>
            </w:r>
          </w:p>
        </w:tc>
        <w:tc>
          <w:p>
            <w:pPr>
              <w:pStyle w:val="Compact"/>
              <w:jc w:val="right"/>
            </w:pPr>
            <w:r>
              <w:t xml:space="preserve">5</w:t>
            </w:r>
          </w:p>
        </w:tc>
        <w:tc>
          <w:p>
            <w:pPr>
              <w:pStyle w:val="Compact"/>
              <w:jc w:val="right"/>
            </w:pPr>
            <w:r>
              <w:t xml:space="preserve">95.30</w:t>
            </w:r>
          </w:p>
        </w:tc>
        <w:tc>
          <w:p>
            <w:pPr>
              <w:pStyle w:val="Compact"/>
              <w:jc w:val="right"/>
            </w:pPr>
            <w:r>
              <w:t xml:space="preserve">207</w:t>
            </w:r>
          </w:p>
        </w:tc>
        <w:tc>
          <w:p>
            <w:pPr>
              <w:pStyle w:val="Compact"/>
              <w:jc w:val="right"/>
            </w:pPr>
            <w:r>
              <w:t xml:space="preserve">10</w:t>
            </w:r>
          </w:p>
        </w:tc>
        <w:tc>
          <w:p>
            <w:pPr>
              <w:pStyle w:val="Compact"/>
              <w:jc w:val="right"/>
            </w:pPr>
            <w:r>
              <w:t xml:space="preserve">1</w:t>
            </w:r>
          </w:p>
        </w:tc>
        <w:tc>
          <w:p>
            <w:pPr>
              <w:pStyle w:val="Compact"/>
              <w:jc w:val="right"/>
            </w:pPr>
            <w:r>
              <w:t xml:space="preserve">0.70</w:t>
            </w:r>
          </w:p>
        </w:tc>
        <w:tc>
          <w:p>
            <w:pPr>
              <w:pStyle w:val="Compact"/>
              <w:jc w:val="left"/>
            </w:pPr>
            <w:r>
              <w:t xml:space="preserve">Argillite Metagreywacke (45.1%)</w:t>
            </w:r>
          </w:p>
        </w:tc>
        <w:tc>
          <w:p>
            <w:pPr>
              <w:pStyle w:val="Compact"/>
              <w:jc w:val="left"/>
            </w:pPr>
            <w:r>
              <w:t xml:space="preserve">Wark Gneiss (30.6%)</w:t>
            </w:r>
          </w:p>
        </w:tc>
      </w:tr>
      <w:tr>
        <w:tc>
          <w:p>
            <w:pPr>
              <w:pStyle w:val="Compact"/>
              <w:jc w:val="left"/>
            </w:pPr>
            <w:r>
              <w:t xml:space="preserve">Judge crk</w:t>
            </w:r>
          </w:p>
        </w:tc>
        <w:tc>
          <w:p>
            <w:pPr>
              <w:pStyle w:val="Compact"/>
              <w:jc w:val="right"/>
            </w:pPr>
            <w:r>
              <w:t xml:space="preserve">48.58569</w:t>
            </w:r>
          </w:p>
        </w:tc>
        <w:tc>
          <w:p>
            <w:pPr>
              <w:pStyle w:val="Compact"/>
              <w:jc w:val="right"/>
            </w:pPr>
            <w:r>
              <w:t xml:space="preserve">-123.6735</w:t>
            </w:r>
          </w:p>
        </w:tc>
        <w:tc>
          <w:p>
            <w:pPr>
              <w:pStyle w:val="Compact"/>
              <w:jc w:val="right"/>
            </w:pPr>
            <w:r>
              <w:t xml:space="preserve">3</w:t>
            </w:r>
          </w:p>
        </w:tc>
        <w:tc>
          <w:p>
            <w:pPr>
              <w:pStyle w:val="Compact"/>
              <w:jc w:val="right"/>
            </w:pPr>
            <w:r>
              <w:t xml:space="preserve">8.33</w:t>
            </w:r>
          </w:p>
        </w:tc>
        <w:tc>
          <w:p>
            <w:pPr>
              <w:pStyle w:val="Compact"/>
              <w:jc w:val="right"/>
            </w:pPr>
            <w:r>
              <w:t xml:space="preserve">200</w:t>
            </w:r>
          </w:p>
        </w:tc>
        <w:tc>
          <w:p>
            <w:pPr>
              <w:pStyle w:val="Compact"/>
              <w:jc w:val="right"/>
            </w:pPr>
            <w:r>
              <w:t xml:space="preserve">9</w:t>
            </w:r>
          </w:p>
        </w:tc>
        <w:tc>
          <w:p>
            <w:pPr>
              <w:pStyle w:val="Compact"/>
              <w:jc w:val="right"/>
            </w:pPr>
            <w:r>
              <w:t xml:space="preserve">1</w:t>
            </w:r>
          </w:p>
        </w:tc>
        <w:tc>
          <w:p>
            <w:pPr>
              <w:pStyle w:val="Compact"/>
              <w:jc w:val="right"/>
            </w:pPr>
            <w:r>
              <w:t xml:space="preserve">0.00</w:t>
            </w:r>
          </w:p>
        </w:tc>
        <w:tc>
          <w:p>
            <w:pPr>
              <w:pStyle w:val="Compact"/>
              <w:jc w:val="left"/>
            </w:pPr>
            <w:r>
              <w:t xml:space="preserve">Colquitz Gneiss (72.4)</w:t>
            </w:r>
          </w:p>
        </w:tc>
        <w:tc>
          <w:p>
            <w:pPr>
              <w:pStyle w:val="Compact"/>
              <w:jc w:val="left"/>
            </w:pPr>
            <w:r>
              <w:t xml:space="preserve">Wark Gneiss (27%)</w:t>
            </w:r>
          </w:p>
        </w:tc>
      </w:tr>
      <w:tr>
        <w:tc>
          <w:p>
            <w:pPr>
              <w:pStyle w:val="Compact"/>
              <w:jc w:val="left"/>
            </w:pPr>
            <w:r>
              <w:t xml:space="preserve">Rithet crk</w:t>
            </w:r>
          </w:p>
        </w:tc>
        <w:tc>
          <w:p>
            <w:pPr>
              <w:pStyle w:val="Compact"/>
              <w:jc w:val="right"/>
            </w:pPr>
            <w:r>
              <w:t xml:space="preserve">48.59123</w:t>
            </w:r>
          </w:p>
        </w:tc>
        <w:tc>
          <w:p>
            <w:pPr>
              <w:pStyle w:val="Compact"/>
              <w:jc w:val="right"/>
            </w:pPr>
            <w:r>
              <w:t xml:space="preserve">-123.7250</w:t>
            </w:r>
          </w:p>
        </w:tc>
        <w:tc>
          <w:p>
            <w:pPr>
              <w:pStyle w:val="Compact"/>
              <w:jc w:val="right"/>
            </w:pPr>
            <w:r>
              <w:t xml:space="preserve">4</w:t>
            </w:r>
          </w:p>
        </w:tc>
        <w:tc>
          <w:p>
            <w:pPr>
              <w:pStyle w:val="Compact"/>
              <w:jc w:val="right"/>
            </w:pPr>
            <w:r>
              <w:t xml:space="preserve">11.12</w:t>
            </w:r>
          </w:p>
        </w:tc>
        <w:tc>
          <w:p>
            <w:pPr>
              <w:pStyle w:val="Compact"/>
              <w:jc w:val="right"/>
            </w:pPr>
            <w:r>
              <w:t xml:space="preserve">252</w:t>
            </w:r>
          </w:p>
        </w:tc>
        <w:tc>
          <w:p>
            <w:pPr>
              <w:pStyle w:val="Compact"/>
              <w:jc w:val="right"/>
            </w:pPr>
            <w:r>
              <w:t xml:space="preserve">11</w:t>
            </w:r>
          </w:p>
        </w:tc>
        <w:tc>
          <w:p>
            <w:pPr>
              <w:pStyle w:val="Compact"/>
              <w:jc w:val="right"/>
            </w:pPr>
            <w:r>
              <w:t xml:space="preserve">1</w:t>
            </w:r>
          </w:p>
        </w:tc>
        <w:tc>
          <w:p>
            <w:pPr>
              <w:pStyle w:val="Compact"/>
              <w:jc w:val="right"/>
            </w:pPr>
            <w:r>
              <w:t xml:space="preserve">0.00</w:t>
            </w:r>
          </w:p>
        </w:tc>
        <w:tc>
          <w:p>
            <w:pPr>
              <w:pStyle w:val="Compact"/>
              <w:jc w:val="left"/>
            </w:pPr>
            <w:r>
              <w:t xml:space="preserve">Wark Gneiss (79.2%)</w:t>
            </w:r>
          </w:p>
        </w:tc>
        <w:tc>
          <w:p>
            <w:pPr>
              <w:pStyle w:val="Compact"/>
              <w:jc w:val="left"/>
            </w:pPr>
            <w:r>
              <w:t xml:space="preserve">Colquitz Gneiss (20.3%)</w:t>
            </w:r>
          </w:p>
        </w:tc>
      </w:tr>
      <w:tr>
        <w:tc>
          <w:p>
            <w:pPr>
              <w:pStyle w:val="Compact"/>
              <w:jc w:val="left"/>
            </w:pPr>
            <w:r>
              <w:t xml:space="preserve">Deception (gulch)</w:t>
            </w:r>
          </w:p>
        </w:tc>
        <w:tc>
          <w:p>
            <w:pPr>
              <w:pStyle w:val="Compact"/>
              <w:jc w:val="right"/>
            </w:pPr>
            <w:r>
              <w:t xml:space="preserve">48.51694</w:t>
            </w:r>
          </w:p>
        </w:tc>
        <w:tc>
          <w:p>
            <w:pPr>
              <w:pStyle w:val="Compact"/>
              <w:jc w:val="right"/>
            </w:pPr>
            <w:r>
              <w:t xml:space="preserve">-123.7204</w:t>
            </w:r>
          </w:p>
        </w:tc>
        <w:tc>
          <w:p>
            <w:pPr>
              <w:pStyle w:val="Compact"/>
              <w:jc w:val="right"/>
            </w:pPr>
            <w:r>
              <w:t xml:space="preserve">3</w:t>
            </w:r>
          </w:p>
        </w:tc>
        <w:tc>
          <w:p>
            <w:pPr>
              <w:pStyle w:val="Compact"/>
              <w:jc w:val="right"/>
            </w:pPr>
            <w:r>
              <w:t xml:space="preserve">4.02</w:t>
            </w:r>
          </w:p>
        </w:tc>
        <w:tc>
          <w:p>
            <w:pPr>
              <w:pStyle w:val="Compact"/>
              <w:jc w:val="right"/>
            </w:pPr>
            <w:r>
              <w:t xml:space="preserve">195</w:t>
            </w:r>
          </w:p>
        </w:tc>
        <w:tc>
          <w:p>
            <w:pPr>
              <w:pStyle w:val="Compact"/>
              <w:jc w:val="right"/>
            </w:pPr>
            <w:r>
              <w:t xml:space="preserve">13</w:t>
            </w:r>
          </w:p>
        </w:tc>
        <w:tc>
          <w:p>
            <w:pPr>
              <w:pStyle w:val="Compact"/>
              <w:jc w:val="right"/>
            </w:pPr>
            <w:r>
              <w:t xml:space="preserve">9</w:t>
            </w:r>
          </w:p>
        </w:tc>
        <w:tc>
          <w:p>
            <w:pPr>
              <w:pStyle w:val="Compact"/>
              <w:jc w:val="right"/>
            </w:pPr>
            <w:r>
              <w:t xml:space="preserve">0.00</w:t>
            </w:r>
          </w:p>
        </w:tc>
        <w:tc>
          <w:p>
            <w:pPr>
              <w:pStyle w:val="Compact"/>
              <w:jc w:val="left"/>
            </w:pPr>
            <w:r>
              <w:t xml:space="preserve">Wark Gneiss (61.2%)</w:t>
            </w:r>
          </w:p>
        </w:tc>
        <w:tc>
          <w:p>
            <w:pPr>
              <w:pStyle w:val="Compact"/>
              <w:jc w:val="left"/>
            </w:pPr>
            <w:r>
              <w:t xml:space="preserve">Argillite Metagreywacke (38.8%)</w:t>
            </w:r>
          </w:p>
        </w:tc>
      </w:tr>
      <w:tr>
        <w:tc>
          <w:p>
            <w:pPr>
              <w:pStyle w:val="Compact"/>
              <w:jc w:val="left"/>
            </w:pPr>
            <w:r>
              <w:t xml:space="preserve">Jarvis crk</w:t>
            </w:r>
          </w:p>
        </w:tc>
        <w:tc>
          <w:p>
            <w:pPr>
              <w:pStyle w:val="Compact"/>
              <w:jc w:val="right"/>
            </w:pPr>
            <w:r>
              <w:t xml:space="preserve">48.59677</w:t>
            </w:r>
          </w:p>
        </w:tc>
        <w:tc>
          <w:p>
            <w:pPr>
              <w:pStyle w:val="Compact"/>
              <w:jc w:val="right"/>
            </w:pPr>
            <w:r>
              <w:t xml:space="preserve">-123.7981</w:t>
            </w:r>
          </w:p>
        </w:tc>
        <w:tc>
          <w:p>
            <w:pPr>
              <w:pStyle w:val="Compact"/>
              <w:jc w:val="right"/>
            </w:pPr>
            <w:r>
              <w:t xml:space="preserve">2</w:t>
            </w:r>
          </w:p>
        </w:tc>
        <w:tc>
          <w:p>
            <w:pPr>
              <w:pStyle w:val="Compact"/>
              <w:jc w:val="right"/>
            </w:pPr>
            <w:r>
              <w:t xml:space="preserve">1.51</w:t>
            </w:r>
          </w:p>
        </w:tc>
        <w:tc>
          <w:p>
            <w:pPr>
              <w:pStyle w:val="Compact"/>
              <w:jc w:val="right"/>
            </w:pPr>
            <w:r>
              <w:t xml:space="preserve">742</w:t>
            </w:r>
          </w:p>
        </w:tc>
        <w:tc>
          <w:p>
            <w:pPr>
              <w:pStyle w:val="Compact"/>
              <w:jc w:val="right"/>
            </w:pPr>
            <w:r>
              <w:t xml:space="preserve">5</w:t>
            </w:r>
          </w:p>
        </w:tc>
        <w:tc>
          <w:p>
            <w:pPr>
              <w:pStyle w:val="Compact"/>
              <w:jc w:val="right"/>
            </w:pPr>
            <w:r>
              <w:t xml:space="preserve">4</w:t>
            </w:r>
          </w:p>
        </w:tc>
        <w:tc>
          <w:p>
            <w:pPr>
              <w:pStyle w:val="Compact"/>
              <w:jc w:val="right"/>
            </w:pPr>
            <w:r>
              <w:t xml:space="preserve">0.00</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Lazar crk</w:t>
            </w:r>
          </w:p>
        </w:tc>
        <w:tc>
          <w:p>
            <w:pPr>
              <w:pStyle w:val="Compact"/>
              <w:jc w:val="right"/>
            </w:pPr>
            <w:r>
              <w:t xml:space="preserve">48.59179</w:t>
            </w:r>
          </w:p>
        </w:tc>
        <w:tc>
          <w:p>
            <w:pPr>
              <w:pStyle w:val="Compact"/>
              <w:jc w:val="right"/>
            </w:pPr>
            <w:r>
              <w:t xml:space="preserve">-123.7700</w:t>
            </w:r>
          </w:p>
        </w:tc>
        <w:tc>
          <w:p>
            <w:pPr>
              <w:pStyle w:val="Compact"/>
              <w:jc w:val="right"/>
            </w:pPr>
            <w:r>
              <w:t xml:space="preserve">3</w:t>
            </w:r>
          </w:p>
        </w:tc>
        <w:tc>
          <w:p>
            <w:pPr>
              <w:pStyle w:val="Compact"/>
              <w:jc w:val="right"/>
            </w:pPr>
            <w:r>
              <w:t xml:space="preserve">4.74</w:t>
            </w:r>
          </w:p>
        </w:tc>
        <w:tc>
          <w:p>
            <w:pPr>
              <w:pStyle w:val="Compact"/>
              <w:jc w:val="right"/>
            </w:pPr>
            <w:r>
              <w:t xml:space="preserve">651</w:t>
            </w:r>
          </w:p>
        </w:tc>
        <w:tc>
          <w:p>
            <w:pPr>
              <w:pStyle w:val="Compact"/>
              <w:jc w:val="right"/>
            </w:pPr>
            <w:r>
              <w:t xml:space="preserve">6</w:t>
            </w:r>
          </w:p>
        </w:tc>
        <w:tc>
          <w:p>
            <w:pPr>
              <w:pStyle w:val="Compact"/>
              <w:jc w:val="right"/>
            </w:pPr>
            <w:r>
              <w:t xml:space="preserve">12</w:t>
            </w:r>
          </w:p>
        </w:tc>
        <w:tc>
          <w:p>
            <w:pPr>
              <w:pStyle w:val="Compact"/>
              <w:jc w:val="right"/>
            </w:pPr>
            <w:r>
              <w:t xml:space="preserve">0.07</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Leech beach</w:t>
            </w:r>
          </w:p>
        </w:tc>
        <w:tc>
          <w:p>
            <w:pPr>
              <w:pStyle w:val="Compact"/>
              <w:jc w:val="right"/>
            </w:pPr>
            <w:r>
              <w:t xml:space="preserve">48.50678</w:t>
            </w:r>
          </w:p>
        </w:tc>
        <w:tc>
          <w:p>
            <w:pPr>
              <w:pStyle w:val="Compact"/>
              <w:jc w:val="right"/>
            </w:pPr>
            <w:r>
              <w:t xml:space="preserve">-123.7818</w:t>
            </w:r>
          </w:p>
        </w:tc>
        <w:tc>
          <w:p>
            <w:pPr>
              <w:pStyle w:val="Compact"/>
              <w:jc w:val="right"/>
            </w:pPr>
            <w:r>
              <w:t xml:space="preserve">5</w:t>
            </w:r>
          </w:p>
        </w:tc>
        <w:tc>
          <w:p>
            <w:pPr>
              <w:pStyle w:val="Compact"/>
              <w:jc w:val="right"/>
            </w:pPr>
            <w:r>
              <w:t xml:space="preserve">94.09</w:t>
            </w:r>
          </w:p>
        </w:tc>
        <w:tc>
          <w:p>
            <w:pPr>
              <w:pStyle w:val="Compact"/>
              <w:jc w:val="right"/>
            </w:pPr>
            <w:r>
              <w:t xml:space="preserve">237</w:t>
            </w:r>
          </w:p>
        </w:tc>
        <w:tc>
          <w:p>
            <w:pPr>
              <w:pStyle w:val="Compact"/>
              <w:jc w:val="right"/>
            </w:pPr>
            <w:r>
              <w:t xml:space="preserve">10</w:t>
            </w:r>
          </w:p>
        </w:tc>
        <w:tc>
          <w:p>
            <w:pPr>
              <w:pStyle w:val="Compact"/>
              <w:jc w:val="right"/>
            </w:pPr>
            <w:r>
              <w:t xml:space="preserve">1</w:t>
            </w:r>
          </w:p>
        </w:tc>
        <w:tc>
          <w:p>
            <w:pPr>
              <w:pStyle w:val="Compact"/>
              <w:jc w:val="right"/>
            </w:pPr>
            <w:r>
              <w:t xml:space="preserve">0.02</w:t>
            </w:r>
          </w:p>
        </w:tc>
        <w:tc>
          <w:p>
            <w:pPr>
              <w:pStyle w:val="Compact"/>
              <w:jc w:val="left"/>
            </w:pPr>
            <w:r>
              <w:t xml:space="preserve">Argillite Metagreywacke (45.1%)</w:t>
            </w:r>
          </w:p>
        </w:tc>
        <w:tc>
          <w:p>
            <w:pPr>
              <w:pStyle w:val="Compact"/>
              <w:jc w:val="left"/>
            </w:pPr>
            <w:r>
              <w:t xml:space="preserve">Wark Gneiss (31%)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pPr>
        <w:pStyle w:val="BodyText"/>
      </w:pPr>
      <w:r>
        <w:t xml:space="preserve"> </w:t>
      </w:r>
    </w:p>
    <w:p>
      <w:pPr>
        <w:pStyle w:val="BodyText"/>
      </w:pPr>
      <w:r>
        <w:t xml:space="preserve">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 minute intervals. Each Vertical Rack included a central stilling well (3.81 cm (1.5 in) PCV pipe with 1.27 cm (0.5 in)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 Air and water temperatures were also measured at each site (30 minute intervals, using HOBO TidbiT v2 Temperature Data Loggers, Onset, USA). Reconyx trail cameras were also installed at monitoring site locations; images were taken every 15 minutes to confirm if streamflow was well mixed and to monitor installations.</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 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w:t>
      </w:r>
    </w:p>
    <w:p>
      <w:pPr>
        <w:pStyle w:val="BodyText"/>
      </w:pPr>
      <w:r>
        <w:t xml:space="preserve"> </w:t>
      </w:r>
    </w:p>
    <w:p>
      <w:pPr>
        <w:pStyle w:val="BodyText"/>
      </w:pPr>
      <w:r>
        <w:t xml:space="preserve">Each siphon bottle’s filling-stage was referenced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BodyText"/>
      </w:pPr>
      <w:r>
        <w:t xml:space="preserve">The representativeness of Vertical Rack samples rely on two key assumptions: (1) well mixed water column (no stratification); and (2) the samples were discrete, such that there was no infiltration or mixing between surrounding water and the sample in the bottle once it was filled. Trail camera images and a circulating dye test were used to assess the assumptions of well-mixed water and discrete sample collection (respectively).</w:t>
      </w:r>
    </w:p>
    <w:p>
      <w:pPr>
        <w:pStyle w:val="BodyText"/>
      </w:pPr>
      <w:r>
        <w:t xml:space="preserve"> </w:t>
      </w:r>
    </w:p>
    <w:p>
      <w:pPr>
        <w:pStyle w:val="Heading5"/>
      </w:pPr>
      <w:bookmarkStart w:id="44" w:name="X7814fd64b4cd4c903de13f3f7258b0ad6e1c862"/>
      <w:r>
        <w:t xml:space="preserve">Vertical Rack sample hold-time experiments</w:t>
      </w:r>
      <w:bookmarkEnd w:id="44"/>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 (Appendix D2).</w:t>
      </w:r>
    </w:p>
    <w:p>
      <w:pPr>
        <w:pStyle w:val="BodyText"/>
      </w:pPr>
      <w:r>
        <w:t xml:space="preserve"> </w:t>
      </w:r>
    </w:p>
    <w:p>
      <w:pPr>
        <w:pStyle w:val="Heading3"/>
      </w:pPr>
      <w:bookmarkStart w:id="45" w:name="laboratory-analyses-of-water-samples"/>
      <w:r>
        <w:t xml:space="preserve">Laboratory analyses of water samples</w:t>
      </w:r>
      <w:bookmarkEnd w:id="45"/>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6" w:name="quantifying-doc-dissolved-organic-carbon"/>
      <w:r>
        <w:t xml:space="preserve">Quantifying DOC (dissolved organic carbon)</w:t>
      </w:r>
      <w:bookmarkEnd w:id="46"/>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7" w:name="sample-preparation"/>
      <w:r>
        <w:t xml:space="preserve">Sample preparation</w:t>
      </w:r>
      <w:bookmarkEnd w:id="47"/>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8" w:name="instrumental-analysis-methods"/>
      <w:r>
        <w:t xml:space="preserve">Instrumental analysis methods</w:t>
      </w:r>
      <w:bookmarkEnd w:id="48"/>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49" w:name="Xa19b3801762e0a6c0f55232717f8102b4711780"/>
      <w:r>
        <w:t xml:space="preserve">Characterizing NOM (natural organic matter)</w:t>
      </w:r>
      <w:bookmarkEnd w:id="49"/>
    </w:p>
    <w:p>
      <w:pPr>
        <w:pStyle w:val="FirstParagraph"/>
      </w:pPr>
      <w:r>
        <w:t xml:space="preserve">To assess the molecular character of NOM, samples were analyzed by UV-Vis spectroscopy (ultraviolet-visible light) using a spectro::lyser (s::can, Vienna, Austria) in a laboratory setting. The spectro::lyser is a self-contained spectrophotometer and data-logger (with external power source) that measures turbidity and UV-Vis absorbance (i.e. light attenuation) across the wavelength range of 200 nm to 750 nm (recorded at 2.5 nm intervals).</w:t>
      </w:r>
    </w:p>
    <w:p>
      <w:pPr>
        <w:pStyle w:val="BodyText"/>
      </w:pPr>
      <w:r>
        <w:t xml:space="preserve"> </w:t>
      </w:r>
    </w:p>
    <w:p>
      <w:pPr>
        <w:pStyle w:val="Heading5"/>
      </w:pPr>
      <w:bookmarkStart w:id="50" w:name="sample-analysis"/>
      <w:r>
        <w:t xml:space="preserve">Sample analysis</w:t>
      </w:r>
      <w:bookmarkEnd w:id="50"/>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1" w:name="instrument-and-data-handling"/>
      <w:r>
        <w:t xml:space="preserve">Instrument and data handling</w:t>
      </w:r>
      <w:bookmarkEnd w:id="51"/>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2" w:name="spectral-indices-of-nom-character"/>
      <w:r>
        <w:t xml:space="preserve">Spectral indices of NOM character</w:t>
      </w:r>
      <w:bookmarkEnd w:id="52"/>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 Appendix E1)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4"/>
      </w:pPr>
      <w:bookmarkStart w:id="53" w:name="Xfaf8e16375c2a9e39fc14f07b646027fe985168"/>
      <w:r>
        <w:t xml:space="preserve">Collaborative analyses for treatability and metals</w:t>
      </w:r>
      <w:bookmarkEnd w:id="53"/>
    </w:p>
    <w:p>
      <w:pPr>
        <w:pStyle w:val="FirstParagraph"/>
      </w:pPr>
      <w:r>
        <w:t xml:space="preserve">Synoptic grab samples were collected for treatability analyses with partners in the forWater Network and for metals analyses with the CRD (see Appendix E for details). Results from forWater DBP-FP experiments were used to evaluate relationships between DOC, SAC</w:t>
      </w:r>
      <w:r>
        <w:rPr>
          <w:vertAlign w:val="subscript"/>
        </w:rPr>
        <w:t xml:space="preserve">254</w:t>
      </w:r>
      <w:r>
        <w:t xml:space="preserve">, SUVA</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with individual DBP-FPs. To verify that DOC plays a role in metals transport, relationships between DOC and aqueous metals concentrations were assessed.</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and the timing and length of seasons can vary year to year. Here, seasons were defined by sampling method restrictions such that the</w:t>
      </w:r>
      <w:r>
        <w:t xml:space="preserve"> </w:t>
      </w:r>
      <w:r>
        <w:t xml:space="preserve">“</w:t>
      </w:r>
      <w:r>
        <w:t xml:space="preserve">wet</w:t>
      </w:r>
      <w:r>
        <w:t xml:space="preserve">”</w:t>
      </w:r>
      <w:r>
        <w:t xml:space="preserve"> </w:t>
      </w:r>
      <w:r>
        <w:t xml:space="preserve">season was defined by conditions that generated stream responses significant enough for Vertical Racks to collect rising limb samples, and the</w:t>
      </w:r>
      <w:r>
        <w:t xml:space="preserve"> </w:t>
      </w:r>
      <w:r>
        <w:t xml:space="preserve">“</w:t>
      </w:r>
      <w:r>
        <w:t xml:space="preserve">dry</w:t>
      </w:r>
      <w:r>
        <w:t xml:space="preserve">”</w:t>
      </w:r>
      <w:r>
        <w:t xml:space="preserve"> </w:t>
      </w:r>
      <w:r>
        <w:t xml:space="preserve">season was defined by baseflow conditions where stream response was not detected at the Vertical Racks.</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WSA. Chris Creek weather station (560 m a.s.l) is near the headwaters of the Leech watershed and Martin’s Gulch (512 m a.s.l) is located on a ridge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fire-weather station (FWx) summary of features</w:t>
      </w:r>
    </w:p>
    <w:tbl>
      <w:tblPr>
        <w:tblStyle w:val="Table"/>
        <w:tblW w:type="pct" w:w="5000.0"/>
        <w:tblLook w:firstRow="1"/>
        <w:tblCaption w:val="Table 4: CRD fire-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were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D2 for summary of data from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BodyText"/>
      </w:pPr>
      <w:r>
        <w:t xml:space="preserve">October 2018 through to February 2020 (the study period) was warmer and drier than historical climate normals 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(Appendix D).</w:t>
      </w:r>
    </w:p>
    <w:p>
      <w:pPr>
        <w:pStyle w:val="BodyText"/>
      </w:pPr>
      <w:r>
        <w:t xml:space="preserve"> </w:t>
      </w:r>
    </w:p>
    <w:p>
      <w:pPr>
        <w:pStyle w:val="Heading4"/>
      </w:pPr>
      <w:bookmarkStart w:id="58" w:name="Xc4b4acfe17439cc65e7c3ef94af73684a531207"/>
      <w:r>
        <w:t xml:space="preserve">Seasonal delineation &amp; Rack sample collection</w:t>
      </w:r>
      <w:bookmarkEnd w:id="58"/>
    </w:p>
    <w:p>
      <w:pPr>
        <w:pStyle w:val="FirstParagraph"/>
      </w:pPr>
      <w:r>
        <w:t xml:space="preserve">The wet seasons included 18 rain events big enough to trigger Vertical Rack sample collection. Rack samples were collected for rain events 50 mm and larger,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6629399"/>
            <wp:effectExtent b="0" l="0" r="0" t="0"/>
            <wp:docPr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w:t>
      </w:r>
    </w:p>
    <w:p>
      <w:pPr>
        <w:pStyle w:val="BodyText"/>
      </w:pPr>
      <w:r>
        <w:t xml:space="preserve"> </w:t>
      </w:r>
    </w:p>
    <w:p>
      <w:pPr>
        <w:pStyle w:val="Heading4"/>
      </w:pPr>
      <w:bookmarkStart w:id="60" w:name="X939c306b5514c7d2f35a01a6e7ad7aa86b136b8"/>
      <w:r>
        <w:t xml:space="preserve">Collaborative analyses for treatability and metals</w:t>
      </w:r>
      <w:bookmarkEnd w:id="60"/>
    </w:p>
    <w:p>
      <w:pPr>
        <w:pStyle w:val="FirstParagraph"/>
      </w:pPr>
      <w:r>
        <w:t xml:space="preserve">Relationships between DBP-FPs with DOC, SUVA</w:t>
      </w:r>
      <w:r>
        <w:rPr>
          <w:vertAlign w:val="subscript"/>
        </w:rPr>
        <w:t xml:space="preserve">254</w:t>
      </w:r>
      <w:r>
        <w:t xml:space="preserve"> </w:t>
      </w:r>
      <w:r>
        <w:t xml:space="preserve">and SAC</w:t>
      </w:r>
      <w:r>
        <w:rPr>
          <w:vertAlign w:val="subscript"/>
        </w:rPr>
        <w:t xml:space="preserve">254</w:t>
      </w:r>
      <w:r>
        <w:t xml:space="preserve"> </w:t>
      </w:r>
      <w:r>
        <w:t xml:space="preserve">(see Appendix E1 for full details) revealed that SAC</w:t>
      </w:r>
      <w:r>
        <w:rPr>
          <w:vertAlign w:val="subscript"/>
        </w:rPr>
        <w:t xml:space="preserve">254</w:t>
      </w:r>
      <w:r>
        <w:t xml:space="preserve"> </w:t>
      </w:r>
      <w:r>
        <w:t xml:space="preserve">was better correlated to most DBP-FPs (r=0.68, overall) than was SUVA</w:t>
      </w:r>
      <w:r>
        <w:rPr>
          <w:vertAlign w:val="subscript"/>
        </w:rPr>
        <w:t xml:space="preserve">254</w:t>
      </w:r>
      <w:r>
        <w:t xml:space="preserve"> </w:t>
      </w:r>
      <w:r>
        <w:t xml:space="preserve">(r=0.36) or DOC (r=0.50). In particular, SAC</w:t>
      </w:r>
      <w:r>
        <w:rPr>
          <w:vertAlign w:val="subscript"/>
        </w:rPr>
        <w:t xml:space="preserve">254</w:t>
      </w:r>
      <w:r>
        <w:t xml:space="preserve"> </w:t>
      </w:r>
      <w:r>
        <w:t xml:space="preserve">was well correlated with total trihalomethanes (THM, r=0.9882) including trichloromethane (TCM, r=0.9869), total haloacetic acids (HAAs, r=0.9927) including dichloroacetic acid (DCAA, r=0.9945) and trichloroacetic acid (TCAA, r=0.9900); but was only weakly correlated to bromodichloromethane (BDCM, r=0.6539). Thus, SAC</w:t>
      </w:r>
      <w:r>
        <w:rPr>
          <w:vertAlign w:val="subscript"/>
        </w:rPr>
        <w:t xml:space="preserve">254</w:t>
      </w:r>
      <w:r>
        <w:t xml:space="preserve"> </w:t>
      </w:r>
      <w:r>
        <w:t xml:space="preserve">was included as an indicator of aromatic NOM reactivity, and SUVA</w:t>
      </w:r>
      <w:r>
        <w:rPr>
          <w:vertAlign w:val="subscript"/>
        </w:rPr>
        <w:t xml:space="preserve">254</w:t>
      </w:r>
      <w:r>
        <w:t xml:space="preserve"> </w:t>
      </w:r>
      <w:r>
        <w:t xml:space="preserve">was omitted from results. E</w:t>
      </w:r>
      <w:r>
        <w:rPr>
          <w:vertAlign w:val="subscript"/>
        </w:rPr>
        <w:t xml:space="preserve">2</w:t>
      </w:r>
      <w:r>
        <w:t xml:space="preserve">:E</w:t>
      </w:r>
      <w:r>
        <w:rPr>
          <w:vertAlign w:val="subscript"/>
        </w:rPr>
        <w:t xml:space="preserve">3</w:t>
      </w:r>
      <w:r>
        <w:t xml:space="preserve"> </w:t>
      </w:r>
      <w:r>
        <w:t xml:space="preserve">was not well correlated to DBP-FP but was used as an (inverse) indicator of aqueous NOM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Results of collaborative sample analysis with the CRD (see Appendix E2) showed that DOC was positively correlated with aqueous total mercury (r=0.9999), iron (r=0.8326), manganese (r=0.7706), and aluminum (r=0.6297). While the relationships were not strong, DOC was also positively related to concentrations of barium (r=0.4745), copper (r=0.4198), and arsenic (r=0.3335). Based on these results, it seems apt to consider DOC a master variable linked to metals transport, and reinforces the importance of monitoring DOC concentration in source water supply.</w:t>
      </w:r>
    </w:p>
    <w:p>
      <w:pPr>
        <w:pStyle w:val="BodyText"/>
      </w:pPr>
      <w:r>
        <w:t xml:space="preserve"> </w:t>
      </w:r>
    </w:p>
    <w:p>
      <w:pPr>
        <w:pStyle w:val="Heading4"/>
      </w:pPr>
      <w:bookmarkStart w:id="61" w:name="vertical-rack-sampling-quality-assurance"/>
      <w:r>
        <w:t xml:space="preserve">Vertical Rack sampling quality assurance</w:t>
      </w:r>
      <w:bookmarkEnd w:id="61"/>
    </w:p>
    <w:p>
      <w:pPr>
        <w:pStyle w:val="Heading5"/>
      </w:pPr>
      <w:bookmarkStart w:id="62" w:name="trail-cameras-and-circulating-dye-test"/>
      <w:r>
        <w:t xml:space="preserve">Trail cameras and circulating dye-test</w:t>
      </w:r>
      <w:bookmarkEnd w:id="62"/>
    </w:p>
    <w:p>
      <w:pPr>
        <w:pStyle w:val="FirstParagraph"/>
      </w:pPr>
      <w:r>
        <w:t xml:space="preserve">Trail cameras installed at four of the six monitoring sites provided observations of streamflow during Rack sample collection. Images (captured every 15 minutes) showed highly turbulent flows across rising limb stages (Figure</w:t>
      </w:r>
      <w:r>
        <w:t xml:space="preserve"> </w:t>
      </w:r>
      <w:r>
        <w:t xml:space="preserve">6</w:t>
      </w:r>
      <w:r>
        <w:t xml:space="preserve">). Therefore, the assumption that Vertical Rack samples were collected from well-mixed, un-stratified water was accepted.</w:t>
      </w:r>
    </w:p>
    <w:p>
      <w:pPr>
        <w:pStyle w:val="BodyText"/>
      </w:pPr>
      <w:r>
        <w:t xml:space="preserve"> </w:t>
      </w:r>
    </w:p>
    <w:p>
      <w:pPr>
        <w:pStyle w:val="CaptionedFigure"/>
      </w:pPr>
      <w:r>
        <w:drawing>
          <wp:inline>
            <wp:extent cx="5943600" cy="3436428"/>
            <wp:effectExtent b="0" l="0" r="0" t="0"/>
            <wp:docPr descr="Figure 6:  Trail camera images from four of the six Leech WSA monitoring sites showing turbulent flows upstream of and around Vertical Rack installations, satisfying the assumption of well-mixed water columns." title="" id="1" name="Picture"/>
            <a:graphic>
              <a:graphicData uri="http://schemas.openxmlformats.org/drawingml/2006/picture">
                <pic:pic>
                  <pic:nvPicPr>
                    <pic:cNvPr descr="R-inputs_UBC-forWater-MSc_HMc/images/Rack_turbulent-flows.png" id="0" name="Picture"/>
                    <pic:cNvPicPr>
                      <a:picLocks noChangeArrowheads="1" noChangeAspect="1"/>
                    </pic:cNvPicPr>
                  </pic:nvPicPr>
                  <pic:blipFill>
                    <a:blip r:embed="rId63"/>
                    <a:stretch>
                      <a:fillRect/>
                    </a:stretch>
                  </pic:blipFill>
                  <pic:spPr bwMode="auto">
                    <a:xfrm>
                      <a:off x="0" y="0"/>
                      <a:ext cx="5943600" cy="3436428"/>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Trail camera images from four of the six Leech WSA monitoring sites showing turbulent flows upstream of and around Vertical Rack installations, satisfying the assumption of well-mixed water columns.</w:t>
      </w:r>
    </w:p>
    <w:p>
      <w:pPr>
        <w:pStyle w:val="BodyText"/>
      </w:pPr>
      <w:r>
        <w:t xml:space="preserve"> </w:t>
      </w:r>
    </w:p>
    <w:p>
      <w:pPr>
        <w:pStyle w:val="BodyText"/>
      </w:pPr>
      <w:r>
        <w:t xml:space="preserve">Discrete sample collection was validated in the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Thus, the assumption of discrete siphon sample collection was accepted.</w:t>
      </w:r>
    </w:p>
    <w:p>
      <w:pPr>
        <w:pStyle w:val="BodyText"/>
      </w:pPr>
      <w:r>
        <w:t xml:space="preserve"> </w:t>
      </w:r>
    </w:p>
    <w:p>
      <w:pPr>
        <w:pStyle w:val="Heading5"/>
      </w:pPr>
      <w:bookmarkStart w:id="64" w:name="hold-time-experiments"/>
      <w:r>
        <w:t xml:space="preserve">Hold-time experiments</w:t>
      </w:r>
      <w:bookmarkEnd w:id="64"/>
    </w:p>
    <w:p>
      <w:pPr>
        <w:pStyle w:val="FirstParagraph"/>
      </w:pPr>
      <w:r>
        <w:t xml:space="preserve">Hold-time experiments included three sets of ten samples, each set compared five samples held on the Vertical Rack (</w:t>
      </w:r>
      <w:r>
        <w:t xml:space="preserve">“</w:t>
      </w:r>
      <w:r>
        <w:t xml:space="preserve">held</w:t>
      </w:r>
      <w:r>
        <w:t xml:space="preserve">”</w:t>
      </w:r>
      <w:r>
        <w:t xml:space="preserve">) to five replicate samples analyzed immediately after collection (</w:t>
      </w:r>
      <w:r>
        <w:t xml:space="preserve">“</w:t>
      </w:r>
      <w:r>
        <w:t xml:space="preserve">fresh</w:t>
      </w:r>
      <w:r>
        <w:t xml:space="preserve">”</w:t>
      </w:r>
      <w:r>
        <w:t xml:space="preserve">). For each set (set</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the number of days that samples remained held on the Rack were used with air temperatures during the hold-period to assess Rack sample stability (Figure</w:t>
      </w:r>
      <w:r>
        <w:t xml:space="preserve"> </w:t>
      </w:r>
      <w:r>
        <w:t xml:space="preserve">7</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5"/>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w:t>
      </w:r>
      <w:r>
        <w:t xml:space="preserve"> </w:t>
      </w:r>
      <w:r>
        <w:t xml:space="preserve">‘</w:t>
      </w:r>
      <w:r>
        <w:t xml:space="preserve">fresh</w:t>
      </w:r>
      <w:r>
        <w:t xml:space="preserve">’</w:t>
      </w:r>
      <w:r>
        <w:t xml:space="preserve"> </w:t>
      </w:r>
      <w:r>
        <w:t xml:space="preserve">samples (analyzed after collection) and ends with the retrieval of five</w:t>
      </w:r>
      <w:r>
        <w:t xml:space="preserve"> </w:t>
      </w:r>
      <w:r>
        <w:t xml:space="preserve">‘</w:t>
      </w:r>
      <w:r>
        <w:t xml:space="preserve">held</w:t>
      </w:r>
      <w:r>
        <w:t xml:space="preserve">’</w:t>
      </w:r>
      <w:r>
        <w:t xml:space="preserve"> </w:t>
      </w:r>
      <w:r>
        <w:t xml:space="preserve">samples (kept in the field on a Vertical Rack). Held samples from Set A were on the Rack for 11 days; Set B, 20 days; and Set C, 34 days. These hold-time experiments were conducted at the Leech Tunnel monitoring site, Leech water supply area, Greater Victoria, BC.</w:t>
      </w:r>
    </w:p>
    <w:p>
      <w:pPr>
        <w:pStyle w:val="BodyText"/>
      </w:pPr>
      <w:r>
        <w:t xml:space="preserve"> </w:t>
      </w:r>
    </w:p>
    <w:p>
      <w:pPr>
        <w:pStyle w:val="BodyText"/>
      </w:pPr>
      <w:r>
        <w:t xml:space="preserve">All samples were analyzed to quantify DOC and characterized NOM properties and hold-time set results of fresh and held samples were compared using two-sided paired Wilcoxon signed rank tests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held samples were on the Vertical Rack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between fresh (5.4 ± 0.1 mg/L) and rack-held samples (5.5 ± 0.1 mg/L). Set B also showed no significant change in E</w:t>
      </w:r>
      <w:r>
        <w:rPr>
          <w:vertAlign w:val="subscript"/>
        </w:rPr>
        <w:t xml:space="preserve">2</w:t>
      </w:r>
      <w:r>
        <w:t xml:space="preserve">:E</w:t>
      </w:r>
      <w:r>
        <w:rPr>
          <w:vertAlign w:val="subscript"/>
        </w:rPr>
        <w:t xml:space="preserve">3</w:t>
      </w:r>
      <w:r>
        <w:t xml:space="preserve"> </w:t>
      </w:r>
      <w:r>
        <w:t xml:space="preserve">values (4.58 ± 0.06 compared to 4.6 ± 0.2).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 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8</w:t>
      </w:r>
      <w:r>
        <w:t xml:space="preserve">, Table</w:t>
      </w:r>
      <w:r>
        <w:t xml:space="preserve"> </w:t>
      </w:r>
      <w:r>
        <w:t xml:space="preserve">7</w:t>
      </w:r>
      <w:r>
        <w:t xml:space="preserve">) there was no meaningful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the nearly nine-fold increase in RSD from fresh to held samples DOC indicates an important change in concentrations for set C (Figure</w:t>
      </w:r>
      <w:r>
        <w:t xml:space="preserve"> </w:t>
      </w:r>
      <w:r>
        <w:t xml:space="preserve">8</w:t>
      </w:r>
      <w:r>
        <w:t xml:space="preserve">). Additionally, there were significant changes to SAC</w:t>
      </w:r>
      <w:r>
        <w:rPr>
          <w:vertAlign w:val="subscript"/>
        </w:rPr>
        <w:t xml:space="preserve">254</w:t>
      </w:r>
      <w:r>
        <w:t xml:space="preserve"> </w:t>
      </w:r>
      <w:r>
        <w:t xml:space="preserve">(p = 0.0625; 34% decrease in absorbance, from 14 ± 2 m</w:t>
      </w:r>
      <w:r>
        <w:rPr>
          <w:vertAlign w:val="superscript"/>
        </w:rPr>
        <w:t xml:space="preserve">-1</w:t>
      </w:r>
      <w:r>
        <w:t xml:space="preserve"> </w:t>
      </w:r>
      <w:r>
        <w:t xml:space="preserve">to 9 ± 2 m</w:t>
      </w:r>
      <w:r>
        <w:rPr>
          <w:vertAlign w:val="superscript"/>
        </w:rPr>
        <w:t xml:space="preserve">-1</w:t>
      </w:r>
      <w:r>
        <w:t xml:space="preserve">), and E</w:t>
      </w:r>
      <w:r>
        <w:rPr>
          <w:vertAlign w:val="subscript"/>
        </w:rPr>
        <w:t xml:space="preserve">2</w:t>
      </w:r>
      <w:r>
        <w:t xml:space="preserve">:E</w:t>
      </w:r>
      <w:r>
        <w:rPr>
          <w:vertAlign w:val="subscript"/>
        </w:rPr>
        <w:t xml:space="preserve">3</w:t>
      </w:r>
      <w:r>
        <w:t xml:space="preserve"> </w:t>
      </w:r>
      <w:r>
        <w:t xml:space="preserve">(p = 0.625; 14% decrease, from 4.5 ± 0.2 to 3.9 ± 0.2). In addition to the changes in spectral properties, set C held samples had greater variability compared to the fresh sample counterparts (Figure</w:t>
      </w:r>
      <w:r>
        <w:t xml:space="preserve"> </w:t>
      </w:r>
      <w:r>
        <w:t xml:space="preserve">8</w:t>
      </w:r>
      <w:r>
        <w:t xml:space="preserve">).</w:t>
      </w:r>
    </w:p>
    <w:p>
      <w:pPr>
        <w:pStyle w:val="BodyText"/>
      </w:pPr>
      <w:r>
        <w:t xml:space="preserve"> </w:t>
      </w:r>
    </w:p>
    <w:p>
      <w:pPr>
        <w:pStyle w:val="CaptionedFigure"/>
      </w:pPr>
      <w:r>
        <w:drawing>
          <wp:inline>
            <wp:extent cx="5504749" cy="4587290"/>
            <wp:effectExtent b="0" l="0" r="0" t="0"/>
            <wp:docPr descr="Figure 8: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6"/>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7" w:name="foundational-results-summary"/>
      <w:r>
        <w:t xml:space="preserve">Foundational results summary</w:t>
      </w:r>
      <w:bookmarkEnd w:id="67"/>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BodyText"/>
      </w:pPr>
      <w:r>
        <w:t xml:space="preserve">DOC has been called a master variable for its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 Kellerman et al.</w:t>
      </w:r>
      <w:r>
        <w:t xml:space="preserve"> </w:t>
      </w:r>
      <w:hyperlink w:anchor="ref-Kellerman2018">
        <w:r>
          <w:rPr>
            <w:rStyle w:val="Hyperlink"/>
          </w:rPr>
          <w:t xml:space="preserve">2018</w:t>
        </w:r>
      </w:hyperlink>
      <w:r>
        <w:t xml:space="preserve">; LaZerte</w:t>
      </w:r>
      <w:r>
        <w:t xml:space="preserve"> </w:t>
      </w:r>
      <w:hyperlink w:anchor="ref-LaZerte1991">
        <w:r>
          <w:rPr>
            <w:rStyle w:val="Hyperlink"/>
          </w:rPr>
          <w:t xml:space="preserve">1991</w:t>
        </w:r>
      </w:hyperlink>
      <w:r>
        <w:t xml:space="preserve">)</w:t>
      </w:r>
      <w:r>
        <w:t xml:space="preserve">. This statement was supported by correlations between DOC concentration and aqueous metals in the Leech WSA streams. Relationships between DOC, SAC</w:t>
      </w:r>
      <w:r>
        <w:rPr>
          <w:vertAlign w:val="subscript"/>
        </w:rPr>
        <w:t xml:space="preserve">254</w:t>
      </w:r>
      <w:r>
        <w:t xml:space="preserve"> </w:t>
      </w:r>
      <w:r>
        <w:t xml:space="preserve">and SUVA</w:t>
      </w:r>
      <w:r>
        <w:rPr>
          <w:vertAlign w:val="subscript"/>
        </w:rPr>
        <w:t xml:space="preserve">254</w:t>
      </w:r>
      <w:r>
        <w:t xml:space="preserve"> </w:t>
      </w:r>
      <w:r>
        <w:t xml:space="preserve">clarified that SAC</w:t>
      </w:r>
      <w:r>
        <w:rPr>
          <w:vertAlign w:val="subscript"/>
        </w:rPr>
        <w:t xml:space="preserve">254</w:t>
      </w:r>
      <w:r>
        <w:t xml:space="preserve"> </w:t>
      </w:r>
      <w:r>
        <w:t xml:space="preserve">was better correlated to most DBP-FPs that the other two measured NOM proxy variables. These results are in agreement with findings by Chow et al. </w:t>
      </w:r>
      <w:r>
        <w:t xml:space="preserve">(</w:t>
      </w:r>
      <w:hyperlink w:anchor="ref-Chow2008">
        <w:r>
          <w:rPr>
            <w:rStyle w:val="Hyperlink"/>
          </w:rPr>
          <w:t xml:space="preserve">2008</w:t>
        </w:r>
      </w:hyperlink>
      <w:r>
        <w:t xml:space="preserve">)</w:t>
      </w:r>
      <w:r>
        <w:t xml:space="preserve">, and clarify that SAC</w:t>
      </w:r>
      <w:r>
        <w:rPr>
          <w:vertAlign w:val="subscript"/>
        </w:rPr>
        <w:t xml:space="preserve">254</w:t>
      </w:r>
      <w:r>
        <w:t xml:space="preserve"> </w:t>
      </w:r>
      <w:r>
        <w:t xml:space="preserve">should be used as an indicator of NOM reactivity with respect to DBP-FP, rather than SUVA</w:t>
      </w:r>
      <w:r>
        <w:rPr>
          <w:vertAlign w:val="subscript"/>
        </w:rPr>
        <w:t xml:space="preserve">254</w:t>
      </w:r>
      <w:r>
        <w:t xml:space="preserve">.</w:t>
      </w:r>
    </w:p>
    <w:p>
      <w:pPr>
        <w:pStyle w:val="BodyText"/>
      </w:pPr>
      <w:r>
        <w:t xml:space="preserve"> </w:t>
      </w:r>
    </w:p>
    <w:p>
      <w:pPr>
        <w:pStyle w:val="Heading2"/>
      </w:pPr>
      <w:bookmarkStart w:id="68" w:name="Xd426a99643994faa7fab8186bd0622a7d3e83db"/>
      <w:r>
        <w:t xml:space="preserve">Spatial and Temporal Patterns in NOM Quantity and Quality Across the Greater Victoria Water Supply Areas</w:t>
      </w:r>
      <w:bookmarkEnd w:id="68"/>
    </w:p>
    <w:p>
      <w:pPr>
        <w:pStyle w:val="FirstParagraph"/>
      </w:pPr>
      <w:r>
        <w:t xml:space="preserve"> </w:t>
      </w:r>
    </w:p>
    <w:p>
      <w:pPr>
        <w:pStyle w:val="Heading3"/>
      </w:pPr>
      <w:bookmarkStart w:id="69" w:name="synopsis"/>
      <w:r>
        <w:t xml:space="preserve">Synopsis</w:t>
      </w:r>
      <w:bookmarkEnd w:id="69"/>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70" w:name="methods"/>
      <w:r>
        <w:t xml:space="preserve">Methods</w:t>
      </w:r>
      <w:bookmarkEnd w:id="70"/>
    </w:p>
    <w:p>
      <w:pPr>
        <w:pStyle w:val="FirstParagraph"/>
      </w:pPr>
      <w:r>
        <w:t xml:space="preserve">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 xml:space="preserve">254</w:t>
      </w:r>
      <w:r>
        <w:t xml:space="preserve"> </w:t>
      </w:r>
      <w:r>
        <w:t xml:space="preserve">(reactivity)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Heading4"/>
      </w:pPr>
      <w:bookmarkStart w:id="71" w:name="spatial-temporal-patterns"/>
      <w:r>
        <w:t xml:space="preserve">Spatial &amp; temporal patterns</w:t>
      </w:r>
      <w:bookmarkEnd w:id="71"/>
    </w:p>
    <w:p>
      <w:pPr>
        <w:pStyle w:val="FirstParagraph"/>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wet and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BodyText"/>
      </w:pPr>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crk, and three nested catchments above the Leech River Tunnel were examined. The Leech Tunnel is the effective outlet of the Leech WSA, where runoff from each nested catchment is integrated. From a headwater’s perspective, runoff from the sub-basins of Weeks crk and Chris crk is integrated at the Leech-head site; and runoff from Jarvis and Lazar crk sub-basins is integrated at the Cragg crk site (Figure</w:t>
      </w:r>
      <w:r>
        <w:t xml:space="preserve"> </w:t>
      </w:r>
      <w:r>
        <w:t xml:space="preserve">2</w:t>
      </w:r>
      <w:r>
        <w:t xml:space="preserve">). At each of these three site groupings, results from upstream Grab samples were compared to downstream Rack and Grab sample results combined. Results were compared using Levene’s test for homoscedasticity (homogeneity of variance).</w:t>
      </w:r>
    </w:p>
    <w:p>
      <w:pPr>
        <w:pStyle w:val="BodyText"/>
      </w:pPr>
      <w:r>
        <w:t xml:space="preserve"> </w:t>
      </w:r>
    </w:p>
    <w:p>
      <w:pPr>
        <w:pStyle w:val="BodyText"/>
      </w:pPr>
      <w:r>
        <w:t xml:space="preserve">Synoptic sampling results were evaluated over time to identify possible trends in NOM quantity and quality. To identify possible changes in NOM character, the relationship between DOC and SAC</w:t>
      </w:r>
      <w:r>
        <w:rPr>
          <w:vertAlign w:val="subscript"/>
        </w:rPr>
        <w:t xml:space="preserve">254</w:t>
      </w:r>
      <w:r>
        <w:t xml:space="preserve"> </w:t>
      </w:r>
      <w:r>
        <w:t xml:space="preserve">was explored in context of seasons.</w:t>
      </w:r>
    </w:p>
    <w:p>
      <w:pPr>
        <w:pStyle w:val="BodyText"/>
      </w:pPr>
      <w:r>
        <w:t xml:space="preserve"> </w:t>
      </w:r>
    </w:p>
    <w:p>
      <w:pPr>
        <w:pStyle w:val="BodyText"/>
      </w:pPr>
      <w:r>
        <w:t xml:space="preserve">Because the most heavily sampled sites were those equipped with Vertical Racks, which collected samples only the wet season, sample results from the six monitoring sites were isolated. Wet season NOM quantity and quality results were evaluated to compare event-based rising-limb (Rack) samples to non-rising limb (Grab) samples.</w:t>
      </w:r>
    </w:p>
    <w:p>
      <w:pPr>
        <w:pStyle w:val="BodyText"/>
      </w:pPr>
      <w:r>
        <w:t xml:space="preserve"> </w:t>
      </w:r>
    </w:p>
    <w:p>
      <w:pPr>
        <w:pStyle w:val="Heading3"/>
      </w:pPr>
      <w:bookmarkStart w:id="72" w:name="results"/>
      <w:r>
        <w:t xml:space="preserve">Results</w:t>
      </w:r>
      <w:bookmarkEnd w:id="72"/>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(n = 20).</w:t>
      </w:r>
    </w:p>
    <w:p>
      <w:pPr>
        <w:pStyle w:val="BodyText"/>
      </w:pPr>
      <w:r>
        <w:t xml:space="preserve"> </w:t>
      </w:r>
    </w:p>
    <w:p>
      <w:pPr>
        <w:pStyle w:val="TableCaption"/>
      </w:pPr>
      <w:r>
        <w:t xml:space="preserve">Table 8: Summary of samples collected and number included in data analysis following sample hold-time quality assurance filtering</w:t>
      </w:r>
    </w:p>
    <w:tbl>
      <w:tblPr>
        <w:tblStyle w:val="Table"/>
        <w:tblW w:type="pct" w:w="5000.0"/>
        <w:tblLook w:firstRow="1"/>
        <w:tblCaption w:val="Table 8: Summary of samples collected and number included in data analysis following sample hold-time quality assurance filtering"/>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Mean DOC across the GVWSA was 6.1 mg/L (± 43%), which included the rising limb limb samples colelcted in the Leech WSA. This average concentration was similar to Malcolm Knapp Research Forest, near Maple Ridge on the lower mainland (near Vancouver, BC), where a forested basin (0.97 km</w:t>
      </w:r>
      <w:r>
        <w:rPr>
          <w:vertAlign w:val="superscript"/>
        </w:rPr>
        <w:t xml:space="preserve">2</w:t>
      </w:r>
      <w:r>
        <w:t xml:space="preserve">) had a mean baseflow DOC concentration of approximately 4.5 mg/L with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73" w:name="X5df29f0d072217184f9d2c3d489d6e7d9af746b"/>
      <w:r>
        <w:t xml:space="preserve">Spatial patterns in NOM quantity and quality</w:t>
      </w:r>
      <w:bookmarkEnd w:id="73"/>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(n=49) and 9.7 mg/L (n=12),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(n=13) and 4.8 mg/L (n=64), respectively) were not unlike other streams of 3rd order or above (overall average 5.18 mg/L). The greatest range in DOC concentrations was measured at the Rithet crk site which had a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(n=57) – a monitoring site – was more heavily sampled than Rithet (n=13)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the Sooke WSA main tributaries to Sooke Reservoir: Judge crk (5.7 ± 1.1 mg/L, n=6) and Rithet crk (5.4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25"/>
        <w:gridCol w:w="2344"/>
        <w:gridCol w:w="208"/>
        <w:gridCol w:w="833"/>
        <w:gridCol w:w="364"/>
        <w:gridCol w:w="937"/>
        <w:gridCol w:w="833"/>
        <w:gridCol w:w="937"/>
        <w:gridCol w:w="833"/>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9</w:t>
      </w:r>
      <w:r>
        <w:t xml:space="preserve">). Similar to DOC concentration, there was an overall reduction in aromaticity, reactivity, and molecular size of NOM from upstream to downstream sites (Table</w:t>
      </w:r>
      <w:r>
        <w:t xml:space="preserve"> </w:t>
      </w:r>
      <w:r>
        <w:t xml:space="preserve">10</w:t>
      </w:r>
      <w:r>
        <w:t xml:space="preserve">, Figure</w:t>
      </w:r>
      <w:r>
        <w:t xml:space="preserve"> </w:t>
      </w:r>
      <w:r>
        <w:t xml:space="preserve">9</w:t>
      </w:r>
      <w:r>
        <w:t xml:space="preserve">). The greatest diversity in NOM reactivity, measured by SAC</w:t>
      </w:r>
      <w:r>
        <w:rPr>
          <w:vertAlign w:val="subscript"/>
        </w:rPr>
        <w:t xml:space="preserve">254</w:t>
      </w:r>
      <w:r>
        <w:t xml:space="preserve">, were recorded in headwater samples from Chris crk (50% RSD), Jarvis crk (47% RSD) and Lazar crk (45% RSD). The site with the greatest average reactivity, aromaticity and molecular weight NOM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4.3 ± 0.2).</w:t>
      </w:r>
    </w:p>
    <w:p>
      <w:pPr>
        <w:pStyle w:val="BodyText"/>
      </w:pPr>
      <w:r>
        <w:t xml:space="preserve"> </w:t>
      </w:r>
    </w:p>
    <w:p>
      <w:pPr>
        <w:pStyle w:val="BodyText"/>
      </w:pPr>
      <w:r>
        <w:t xml:space="preserve">The lowest absolute measurement for NOM aromaticity, molecular size and reactivity occurred at the Cragg crk site (maximum E</w:t>
      </w:r>
      <w:r>
        <w:rPr>
          <w:vertAlign w:val="subscript"/>
        </w:rPr>
        <w:t xml:space="preserve">2</w:t>
      </w:r>
      <w:r>
        <w:t xml:space="preserve">:E</w:t>
      </w:r>
      <w:r>
        <w:rPr>
          <w:vertAlign w:val="subscript"/>
        </w:rPr>
        <w:t xml:space="preserve">3</w:t>
      </w:r>
      <w:r>
        <w:t xml:space="preserve"> </w:t>
      </w:r>
      <w:r>
        <w:t xml:space="preserve">of 5.03, minimum SAC</w:t>
      </w:r>
      <w:r>
        <w:rPr>
          <w:vertAlign w:val="subscript"/>
        </w:rPr>
        <w:t xml:space="preserve">254</w:t>
      </w:r>
      <w:r>
        <w:t xml:space="preserve"> </w:t>
      </w:r>
      <w:r>
        <w:t xml:space="preserve">4.69 m</w:t>
      </w:r>
      <w:r>
        <w:rPr>
          <w:vertAlign w:val="superscript"/>
        </w:rPr>
        <w:t xml:space="preserve">-1</w:t>
      </w:r>
      <w:r>
        <w:t xml:space="preserve">). Cragg crk also had among the lowest mean aromaticity and molecular weight NOM (E</w:t>
      </w:r>
      <w:r>
        <w:rPr>
          <w:vertAlign w:val="subscript"/>
        </w:rPr>
        <w:t xml:space="preserve">2</w:t>
      </w:r>
      <w:r>
        <w:t xml:space="preserve">:E</w:t>
      </w:r>
      <w:r>
        <w:rPr>
          <w:vertAlign w:val="subscript"/>
        </w:rPr>
        <w:t xml:space="preserve">3</w:t>
      </w:r>
      <w:r>
        <w:t xml:space="preserve"> </w:t>
      </w:r>
      <w:r>
        <w:t xml:space="preserve">of 4.59 ± 0.22), though it was very similar to Judge crk (E</w:t>
      </w:r>
      <w:r>
        <w:rPr>
          <w:vertAlign w:val="subscript"/>
        </w:rPr>
        <w:t xml:space="preserve">2</w:t>
      </w:r>
      <w:r>
        <w:t xml:space="preserve">:E</w:t>
      </w:r>
      <w:r>
        <w:rPr>
          <w:vertAlign w:val="subscript"/>
        </w:rPr>
        <w:t xml:space="preserve">3</w:t>
      </w:r>
      <w:r>
        <w:t xml:space="preserve"> </w:t>
      </w:r>
      <w:r>
        <w:t xml:space="preserve">of 4.59 ± 0.05). Unlike Cragg crk’s low aromaticity and molecular weight NOM, it’s headwater sites (Jarvis and Lazar) had samples with highly aromatic and reactive NOM character. Jarvis crk had the most reactive NOM sample (max SAC</w:t>
      </w:r>
      <w:r>
        <w:rPr>
          <w:vertAlign w:val="subscript"/>
        </w:rPr>
        <w:t xml:space="preserve">254</w:t>
      </w:r>
      <w:r>
        <w:t xml:space="preserve"> </w:t>
      </w:r>
      <w:r>
        <w:t xml:space="preserve">41.7 m</w:t>
      </w:r>
      <w:r>
        <w:rPr>
          <w:vertAlign w:val="superscript"/>
        </w:rPr>
        <w:t xml:space="preserve">-1</w:t>
      </w:r>
      <w:r>
        <w:t xml:space="preserve">) and the other headwater creek in Cragg basin, Lazar crk, had one of the most aromatic samples of all (lowest recorded E</w:t>
      </w:r>
      <w:r>
        <w:rPr>
          <w:vertAlign w:val="subscript"/>
        </w:rPr>
        <w:t xml:space="preserve">2</w:t>
      </w:r>
      <w:r>
        <w:t xml:space="preserve">:E</w:t>
      </w:r>
      <w:r>
        <w:rPr>
          <w:vertAlign w:val="subscript"/>
        </w:rPr>
        <w:t xml:space="preserve">3</w:t>
      </w:r>
      <w:r>
        <w:t xml:space="preserve">, 3.77). Lazar crk sub-basin had the greatest proportion of wetlands (12% by area), and had the greatest range in NOM aromaticity and molecular size (E</w:t>
      </w:r>
      <w:r>
        <w:rPr>
          <w:vertAlign w:val="subscript"/>
        </w:rPr>
        <w:t xml:space="preserve">2</w:t>
      </w:r>
      <w:r>
        <w:t xml:space="preserve">:E</w:t>
      </w:r>
      <w:r>
        <w:rPr>
          <w:vertAlign w:val="subscript"/>
        </w:rPr>
        <w:t xml:space="preserve">3</w:t>
      </w:r>
      <w:r>
        <w:t xml:space="preserve"> </w:t>
      </w:r>
      <w:r>
        <w:t xml:space="preserve">values with 9% RSD); despite having one of the most aromatic samples of all, Lazar crk also had the lowest average aromatic NOM (Table</w:t>
      </w:r>
      <w:r>
        <w:t xml:space="preserve"> </w:t>
      </w:r>
      <w:r>
        <w:t xml:space="preserve">10</w:t>
      </w:r>
      <w:r>
        <w:t xml:space="preserve">, Figure</w:t>
      </w:r>
      <w:r>
        <w:t xml:space="preserve"> </w:t>
      </w:r>
      <w:r>
        <w:t xml:space="preserve">9</w:t>
      </w:r>
      <w:r>
        <w:t xml:space="preserve">). Field observations included dry-season and early wet season algae blooms (Appendix C2) in Jarvis crk, Lazar crk and Cragg crk (and other small streams draining the west side of Survey Mountain).</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9: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4"/>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Heading5"/>
      </w:pPr>
      <w:bookmarkStart w:id="75" w:name="sampling-for-variance-method-evaluation"/>
      <w:r>
        <w:t xml:space="preserve">Sampling for variance: method evaluation</w:t>
      </w:r>
      <w:bookmarkEnd w:id="75"/>
    </w:p>
    <w:p>
      <w:pPr>
        <w:pStyle w:val="FirstParagraph"/>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10</w:t>
      </w:r>
      <w:r>
        <w:t xml:space="preserve">, plot A); the variance obtained by combining Rack and Grab samples downstream was not the same as upstream Grab sampling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crk (Levene’s p-value 0.0011). Unlike Leech-head, which had near-average DOC concentrations relative to its two headwaters, samples collected at Cragg crk had lower DOC concentrations than either of its headwater sites (Figure</w:t>
      </w:r>
      <w:r>
        <w:t xml:space="preserve"> </w:t>
      </w:r>
      <w:r>
        <w:t xml:space="preserve">10</w:t>
      </w:r>
      <w:r>
        <w:t xml:space="preserve">, plot B). The differences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The combination of Vertical Rack and Grab sampling at the Leech Tunnel captured the same variance in DOC that was observed in standard Grab samples at three upstream sites: Leech-head, Cragg crk, West Leech (Figure</w:t>
      </w:r>
      <w:r>
        <w:t xml:space="preserve"> </w:t>
      </w:r>
      <w:r>
        <w:t xml:space="preserve">10</w:t>
      </w:r>
      <w:r>
        <w:t xml:space="preserve">, plot C). Levene’s test for homoscedasticity confirmed that there was no difference in DOC variance at the downstream Rack and Grab combination compared to Grab-sampling-only at upstream sub-basins (p-value 0.165). Similar patterns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F).</w:t>
      </w:r>
    </w:p>
    <w:p>
      <w:pPr>
        <w:pStyle w:val="BodyText"/>
      </w:pPr>
      <w:r>
        <w:t xml:space="preserve"> </w:t>
      </w:r>
    </w:p>
    <w:p>
      <w:pPr>
        <w:pStyle w:val="CaptionedFigure"/>
      </w:pPr>
      <w:r>
        <w:drawing>
          <wp:inline>
            <wp:extent cx="5504749" cy="5504749"/>
            <wp:effectExtent b="0" l="0" r="0" t="0"/>
            <wp:docPr descr="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3rd order headwater stream Grab samples; likely due to greater NOM variability at headwater streams.</w:t>
      </w:r>
    </w:p>
    <w:p>
      <w:pPr>
        <w:pStyle w:val="BodyText"/>
      </w:pPr>
      <w:r>
        <w:t xml:space="preserve"> </w:t>
      </w:r>
    </w:p>
    <w:p>
      <w:pPr>
        <w:pStyle w:val="Heading4"/>
      </w:pPr>
      <w:bookmarkStart w:id="77" w:name="temporal-patterns-seasonal-changes"/>
      <w:r>
        <w:t xml:space="preserve">Temporal patterns &amp; seasonal changes</w:t>
      </w:r>
      <w:bookmarkEnd w:id="77"/>
    </w:p>
    <w:p>
      <w:pPr>
        <w:pStyle w:val="FirstParagraph"/>
      </w:pPr>
      <w:r>
        <w:t xml:space="preserve">From Oct 2018 to Feb 2020, DOC concentrations followed similar patterns across the synoptic sampling sites (Figure</w:t>
      </w:r>
      <w:r>
        <w:t xml:space="preserve"> </w:t>
      </w:r>
      <w:r>
        <w:t xml:space="preserve">11</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11</w:t>
      </w:r>
      <w:r>
        <w:t xml:space="preserve">).</w:t>
      </w:r>
    </w:p>
    <w:p>
      <w:pPr>
        <w:pStyle w:val="BodyText"/>
      </w:pPr>
      <w:r>
        <w:t xml:space="preserve"> </w:t>
      </w:r>
    </w:p>
    <w:p>
      <w:pPr>
        <w:pStyle w:val="CaptionedFigure"/>
      </w:pPr>
      <w:r>
        <w:drawing>
          <wp:inline>
            <wp:extent cx="5504749" cy="3669832"/>
            <wp:effectExtent b="0" l="0" r="0" t="0"/>
            <wp:docPr descr="Figure 11: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11</w:t>
      </w:r>
      <w:r>
        <w:t xml:space="preserve">, though it includes this data-sparse period, appears to match with the overall pattern observed in available data. Indeed, in each sampling season, mean monthly DOC at each site was loosely correlated (r≈0.52) to mean monthly air temperature (Figure</w:t>
      </w:r>
      <w:r>
        <w:t xml:space="preserve"> </w:t>
      </w:r>
      <w:r>
        <w:t xml:space="preserve">12</w:t>
      </w:r>
      <w:r>
        <w:t xml:space="preserve">), where low temperatures corresponded to low concentrations, and higher concentrations occurring at higher temperatures.</w:t>
      </w:r>
    </w:p>
    <w:p>
      <w:pPr>
        <w:pStyle w:val="BodyText"/>
      </w:pPr>
      <w:r>
        <w:t xml:space="preserve"> </w:t>
      </w:r>
    </w:p>
    <w:p>
      <w:pPr>
        <w:pStyle w:val="CaptionedFigure"/>
      </w:pPr>
      <w:r>
        <w:drawing>
          <wp:inline>
            <wp:extent cx="5504749" cy="3669832"/>
            <wp:effectExtent b="0" l="0" r="0" t="0"/>
            <wp:docPr descr="Figure 12:  Mean monthly dissolved organic carbon (DOC) concentrations versus mean monthly air temperature at twelve sites across the Greater Victoria Water Supply Area, separated into dry and wet seasons." title="" id="1" name="Picture"/>
            <a:graphic>
              <a:graphicData uri="http://schemas.openxmlformats.org/drawingml/2006/picture">
                <pic:pic>
                  <pic:nvPicPr>
                    <pic:cNvPr descr="R-outputs_UBC-forWater-MSc_HMc/figures/Ch3_DOCvsTemp.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Mean monthly dissolved organic carbon (DOC) concentrations versus mean monthly air temperature at twelve sites across the Greater Victoria Water Supply Area, separated into dry and wet seasons.</w:t>
      </w:r>
    </w:p>
    <w:p>
      <w:pPr>
        <w:pStyle w:val="BodyText"/>
      </w:pPr>
      <w:r>
        <w:t xml:space="preserve"> </w:t>
      </w:r>
    </w:p>
    <w:p>
      <w:pPr>
        <w:pStyle w:val="BodyText"/>
      </w:pPr>
      <w:r>
        <w:t xml:space="preserve">Despite fluctuation in DOC concentrations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w:t>
      </w:r>
      <w:r>
        <w:rPr>
          <w:i/>
        </w:rPr>
        <w:t xml:space="preserve">n</w:t>
      </w:r>
      <w:r>
        <w:t xml:space="preserve"> </w:t>
      </w:r>
      <w:r>
        <w:t xml:space="preserve">= 55) than during the wet season (</w:t>
      </w:r>
      <w:r>
        <w:rPr>
          <w:i/>
        </w:rPr>
        <w:t xml:space="preserve">n</w:t>
      </w:r>
      <w:r>
        <w:t xml:space="preserve"> </w:t>
      </w:r>
      <w:r>
        <w:t xml:space="preserve">= 311). In a similar ratio, there were fewer spectral NOM characteristic samples collected in the dry season (</w:t>
      </w:r>
      <w:r>
        <w:rPr>
          <w:i/>
        </w:rPr>
        <w:t xml:space="preserve">n</w:t>
      </w:r>
      <w:r>
        <w:t xml:space="preserve"> </w:t>
      </w:r>
      <w:r>
        <w:t xml:space="preserve">= 25) than wet (</w:t>
      </w:r>
      <w:r>
        <w:rPr>
          <w:i/>
        </w:rPr>
        <w:t xml:space="preserve">n</w:t>
      </w:r>
      <w:r>
        <w:t xml:space="preserve"> </w:t>
      </w:r>
      <w:r>
        <w:t xml:space="preserve">= 139). While concentrations remained similar on average over seasons, NOM character was considerably more reactive in the wet season (SAC</w:t>
      </w:r>
      <w:r>
        <w:rPr>
          <w:vertAlign w:val="subscript"/>
        </w:rPr>
        <w:t xml:space="preserve">254</w:t>
      </w:r>
      <w:r>
        <w:t xml:space="preserve"> </w:t>
      </w:r>
      <w:r>
        <w:t xml:space="preserve">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Table</w:t>
      </w:r>
      <w:r>
        <w:t xml:space="preserve"> </w:t>
      </w:r>
      <w:r>
        <w:t xml:space="preserve">11</w:t>
      </w:r>
      <w:r>
        <w:t xml:space="preserve">).</w:t>
      </w:r>
    </w:p>
    <w:p>
      <w:pPr>
        <w:pStyle w:val="BodyText"/>
      </w:pPr>
      <w:r>
        <w:t xml:space="preserve"> </w:t>
      </w:r>
    </w:p>
    <w:p>
      <w:pPr>
        <w:pStyle w:val="BodyText"/>
      </w:pPr>
      <w:r>
        <w:t xml:space="preserve">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13</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3: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80"/>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13</w:t>
      </w:r>
      <w:r>
        <w:t xml:space="preserve">).</w:t>
      </w:r>
    </w:p>
    <w:p>
      <w:pPr>
        <w:pStyle w:val="BodyText"/>
      </w:pPr>
      <w:r>
        <w:t xml:space="preserve"> </w:t>
      </w:r>
    </w:p>
    <w:p>
      <w:pPr>
        <w:pStyle w:val="Heading4"/>
      </w:pPr>
      <w:bookmarkStart w:id="81" w:name="Xe38fb7f46438068ff8eb658455027efb0959564"/>
      <w:r>
        <w:t xml:space="preserve">Leech WSA spatiotemporal patterns and event-based sampling</w:t>
      </w:r>
      <w:bookmarkEnd w:id="81"/>
    </w:p>
    <w:p>
      <w:pPr>
        <w:pStyle w:val="FirstParagraph"/>
      </w:pPr>
      <w:r>
        <w:t xml:space="preserve"> </w:t>
      </w:r>
    </w:p>
    <w:p>
      <w:pPr>
        <w:pStyle w:val="BodyText"/>
      </w:pPr>
      <w:r>
        <w:t xml:space="preserve">Across the six Leech WSA monitoring sites, rising-limb event-based Rack samples contained higher NOM quantities on average than non-rising limb Grab samples (6.8 mg/L compared to 5.2 mg/L DOC; Table</w:t>
      </w:r>
      <w:r>
        <w:t xml:space="preserve"> </w:t>
      </w:r>
      <w:r>
        <w:t xml:space="preserve">12</w:t>
      </w:r>
      <w:r>
        <w:t xml:space="preserve">). Rising limb samples also carried more reactive aromatic NOM (21.37 m</w:t>
      </w:r>
      <w:r>
        <w:rPr>
          <w:vertAlign w:val="superscript"/>
        </w:rPr>
        <w:t xml:space="preserve">-1</w:t>
      </w:r>
      <w:r>
        <w:t xml:space="preserve">) than non-rising limb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reactive NOM compared to non-event flows which had lower concentrations of less reactive NOM. Overall, average wet season DOC was 6.17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NOM quantity (DOC) and reactivity (SAC</w:t>
      </w:r>
      <w:r>
        <w:rPr>
          <w:vertAlign w:val="subscript"/>
        </w:rPr>
        <w:t xml:space="preserve">254</w:t>
      </w:r>
      <w:r>
        <w:t xml:space="preserve">) by sample collection method at six monitoring sites in the Leech water supply area</w:t>
      </w:r>
    </w:p>
    <w:tbl>
      <w:tblPr>
        <w:tblStyle w:val="Table"/>
        <w:tblW w:type="pct" w:w="5000.0"/>
        <w:tblLook w:firstRow="1"/>
        <w:tblCaption w:val="Table 12: Wet season NOM quantity (DOC) and reactivity (SAC254) by sample collection method at six monitoring sites in the Leech water supply area"/>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At all monitoring sites rising-limb Rack samples had higher mean DOC compared to non-rising limb Grab samples (Table</w:t>
      </w:r>
      <w:r>
        <w:t xml:space="preserve"> </w:t>
      </w:r>
      <w:r>
        <w:t xml:space="preserve">13</w:t>
      </w:r>
      <w:r>
        <w:t xml:space="preserve">). Leech-head was the only site where maximum NOM quantity was found in a non-rising-limb sample; at all other sites, peak DOC was obtained on the rising limb of event flows by Rack samplers. Interestingly, rising limb Rack sampling at Weeks crk captured both the highest and lowest DOC concentrations (minimum of 3.8 mg/L, maximum of 19.1 mg/L).</w:t>
      </w:r>
    </w:p>
    <w:p>
      <w:pPr>
        <w:pStyle w:val="BodyText"/>
      </w:pPr>
      <w:r>
        <w:t xml:space="preserve"> </w:t>
      </w:r>
    </w:p>
    <w:p>
      <w:pPr>
        <w:pStyle w:val="BodyText"/>
      </w:pPr>
      <w:r>
        <w:t xml:space="preserve">Four of the six monitoring sites had more reactive NOM in on the rising limb than at other sampled flows. Leech-head and Weeks crk both had slightly less reactivity NOM in rising-limb samples. These two sites also had higher minimum concentration of DOC collected outside of the hydrograph rising limb, by Grab sample (Table</w:t>
      </w:r>
      <w:r>
        <w:t xml:space="preserve"> </w:t>
      </w:r>
      <w:r>
        <w:t xml:space="preserve">13</w:t>
      </w:r>
      <w:r>
        <w:t xml:space="preserve">). Weeks crk had the greatest quantity of NOM with the most reactive character of all monitoring sites. Weeks had more variable but less reactive NOM moving through the rising limb of event flows (SAC</w:t>
      </w:r>
      <w:r>
        <w:rPr>
          <w:vertAlign w:val="subscript"/>
        </w:rPr>
        <w:t xml:space="preserve">254</w:t>
      </w:r>
      <w:r>
        <w:t xml:space="preserve"> </w:t>
      </w:r>
      <w:r>
        <w:t xml:space="preserve">28.7 m</w:t>
      </w:r>
      <w:r>
        <w:rPr>
          <w:vertAlign w:val="superscript"/>
        </w:rPr>
        <w:t xml:space="preserve">-1</w:t>
      </w:r>
      <w:r>
        <w:t xml:space="preserve"> </w:t>
      </w:r>
      <w:r>
        <w:t xml:space="preserve">± 47%) compared to other flow conditions (33.0 m</w:t>
      </w:r>
      <w:r>
        <w:rPr>
          <w:vertAlign w:val="superscript"/>
        </w:rPr>
        <w:t xml:space="preserve">-1</w:t>
      </w:r>
      <w:r>
        <w:t xml:space="preserve"> </w:t>
      </w:r>
      <w:r>
        <w:t xml:space="preserve">± 9%). A similar pattern was seen downstream at Leech-head, where slightly more variable and less reactive NOM (SAC</w:t>
      </w:r>
      <w:r>
        <w:rPr>
          <w:vertAlign w:val="subscript"/>
        </w:rPr>
        <w:t xml:space="preserve">254</w:t>
      </w:r>
      <w:r>
        <w:t xml:space="preserve"> </w:t>
      </w:r>
      <w:r>
        <w:t xml:space="preserve">24.04 m</w:t>
      </w:r>
      <w:r>
        <w:rPr>
          <w:vertAlign w:val="superscript"/>
        </w:rPr>
        <w:t xml:space="preserve">-1</w:t>
      </w:r>
      <w:r>
        <w:t xml:space="preserve"> </w:t>
      </w:r>
      <w:r>
        <w:t xml:space="preserve">± 26%) occurred in rising limb samples than not (24.92 m</w:t>
      </w:r>
      <w:r>
        <w:rPr>
          <w:vertAlign w:val="superscript"/>
        </w:rPr>
        <w:t xml:space="preserve">-1</w:t>
      </w:r>
      <w:r>
        <w:t xml:space="preserve"> </w:t>
      </w:r>
      <w:r>
        <w:t xml:space="preserve">± 8%). The other monitoring sites showed consistently more reactive NOM with greater variance in rising limb event flows (Table</w:t>
      </w:r>
      <w:r>
        <w:t xml:space="preserve"> </w:t>
      </w:r>
      <w:r>
        <w:t xml:space="preserve">13</w:t>
      </w:r>
      <w:r>
        <w:t xml:space="preserve">).</w:t>
      </w:r>
    </w:p>
    <w:p>
      <w:pPr>
        <w:pStyle w:val="BodyText"/>
      </w:pPr>
      <w:r>
        <w:t xml:space="preserve"> </w:t>
      </w:r>
    </w:p>
    <w:p>
      <w:pPr>
        <w:pStyle w:val="BodyText"/>
      </w:pPr>
      <w:r>
        <w:t xml:space="preserve">The difference observed at the Weeks crk and Leech-head sites indicate their event hydrograph rising limbs were more dilute in character due to precipitation inputs while inter-event and lowers flows were sustained by water from the Weeks sub-basin wetlands and lake; water that had more aromatic NOM content.</w:t>
      </w:r>
    </w:p>
    <w:p>
      <w:pPr>
        <w:pStyle w:val="BodyText"/>
      </w:pPr>
      <w:r>
        <w:t xml:space="preserve"> </w:t>
      </w:r>
    </w:p>
    <w:p>
      <w:pPr>
        <w:pStyle w:val="BodyText"/>
      </w:pPr>
      <w:r>
        <w:t xml:space="preserve">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14</w:t>
      </w:r>
      <w:r>
        <w:t xml:space="preserve">).</w:t>
      </w:r>
    </w:p>
    <w:p>
      <w:pPr>
        <w:pStyle w:val="BodyText"/>
      </w:pPr>
      <w:r>
        <w:t xml:space="preserve"> </w:t>
      </w:r>
    </w:p>
    <w:p>
      <w:pPr>
        <w:pStyle w:val="TableCaption"/>
      </w:pPr>
      <w:r>
        <w:t xml:space="preserve">Table 13: Wet season stream NOM quantity and quality (as DOC &amp; SAC</w:t>
      </w:r>
      <w:r>
        <w:rPr>
          <w:vertAlign w:val="subscript"/>
        </w:rPr>
        <w:t xml:space="preserve">254</w:t>
      </w:r>
      <w:r>
        <w:t xml:space="preserve">, respectively) by sample collection method at each of six monitoring sites in the Leech watershed</w:t>
      </w:r>
    </w:p>
    <w:tbl>
      <w:tblPr>
        <w:tblStyle w:val="Table"/>
        <w:tblW w:type="pct" w:w="5000.0"/>
        <w:tblLook w:firstRow="1"/>
        <w:tblCaption w:val="Table 13: Wet season stream NOM quantity and quality (as DOC &amp; SAC254, respectively) by sample collection method at each of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Weeks</w:t>
            </w:r>
          </w:p>
        </w:tc>
        <w:tc>
          <w:p>
            <w:pPr>
              <w:pStyle w:val="Compact"/>
              <w:jc w:val="left"/>
            </w:pPr>
            <w:r>
              <w:t xml:space="preserve">overall</w:t>
            </w:r>
          </w:p>
        </w:tc>
        <w:tc>
          <w:p>
            <w:pPr>
              <w:pStyle w:val="Compact"/>
              <w:jc w:val="right"/>
            </w:pPr>
            <w:r>
              <w:t xml:space="preserve">44</w:t>
            </w:r>
          </w:p>
        </w:tc>
        <w:tc>
          <w:p>
            <w:pPr>
              <w:pStyle w:val="Compact"/>
              <w:jc w:val="left"/>
            </w:pPr>
            <w:r>
              <w:t xml:space="preserve">9.89 ± 36%</w:t>
            </w:r>
          </w:p>
        </w:tc>
        <w:tc>
          <w:p>
            <w:pPr>
              <w:pStyle w:val="Compact"/>
              <w:jc w:val="right"/>
            </w:pPr>
            <w:r>
              <w:t xml:space="preserve">3.78</w:t>
            </w:r>
          </w:p>
        </w:tc>
        <w:tc>
          <w:p>
            <w:pPr>
              <w:pStyle w:val="Compact"/>
              <w:jc w:val="right"/>
            </w:pPr>
            <w:r>
              <w:t xml:space="preserve">9.44</w:t>
            </w:r>
          </w:p>
        </w:tc>
        <w:tc>
          <w:p>
            <w:pPr>
              <w:pStyle w:val="Compact"/>
              <w:jc w:val="right"/>
            </w:pPr>
            <w:r>
              <w:t xml:space="preserve">19.07</w:t>
            </w:r>
          </w:p>
        </w:tc>
        <w:tc>
          <w:p>
            <w:pPr>
              <w:pStyle w:val="Compact"/>
              <w:jc w:val="right"/>
            </w:pPr>
            <w:r>
              <w:t xml:space="preserve">44</w:t>
            </w:r>
          </w:p>
        </w:tc>
        <w:tc>
          <w:p>
            <w:pPr>
              <w:pStyle w:val="Compact"/>
              <w:jc w:val="left"/>
            </w:pPr>
            <w:r>
              <w:t xml:space="preserve">31.25 ± 28%</w:t>
            </w:r>
          </w:p>
        </w:tc>
        <w:tc>
          <w:p>
            <w:pPr>
              <w:pStyle w:val="Compact"/>
              <w:jc w:val="right"/>
            </w:pPr>
            <w:r>
              <w:t xml:space="preserve">12.49</w:t>
            </w:r>
          </w:p>
        </w:tc>
        <w:tc>
          <w:p>
            <w:pPr>
              <w:pStyle w:val="Compact"/>
              <w:jc w:val="right"/>
            </w:pPr>
            <w:r>
              <w:t xml:space="preserve">34.37</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ChrisCrk</w:t>
            </w:r>
          </w:p>
        </w:tc>
        <w:tc>
          <w:p>
            <w:pPr>
              <w:pStyle w:val="Compact"/>
              <w:jc w:val="left"/>
            </w:pPr>
            <w:r>
              <w:t xml:space="preserve">overall</w:t>
            </w:r>
          </w:p>
        </w:tc>
        <w:tc>
          <w:p>
            <w:pPr>
              <w:pStyle w:val="Compact"/>
              <w:jc w:val="right"/>
            </w:pPr>
            <w:r>
              <w:t xml:space="preserve">37</w:t>
            </w:r>
          </w:p>
        </w:tc>
        <w:tc>
          <w:p>
            <w:pPr>
              <w:pStyle w:val="Compact"/>
              <w:jc w:val="left"/>
            </w:pPr>
            <w:r>
              <w:t xml:space="preserve">4.8 ± 43%</w:t>
            </w:r>
          </w:p>
        </w:tc>
        <w:tc>
          <w:p>
            <w:pPr>
              <w:pStyle w:val="Compact"/>
              <w:jc w:val="right"/>
            </w:pPr>
            <w:r>
              <w:t xml:space="preserve">1.84</w:t>
            </w:r>
          </w:p>
        </w:tc>
        <w:tc>
          <w:p>
            <w:pPr>
              <w:pStyle w:val="Compact"/>
              <w:jc w:val="right"/>
            </w:pPr>
            <w:r>
              <w:t xml:space="preserve">4.54</w:t>
            </w:r>
          </w:p>
        </w:tc>
        <w:tc>
          <w:p>
            <w:pPr>
              <w:pStyle w:val="Compact"/>
              <w:jc w:val="right"/>
            </w:pPr>
            <w:r>
              <w:t xml:space="preserve">9.16</w:t>
            </w:r>
          </w:p>
        </w:tc>
        <w:tc>
          <w:p>
            <w:pPr>
              <w:pStyle w:val="Compact"/>
              <w:jc w:val="right"/>
            </w:pPr>
            <w:r>
              <w:t xml:space="preserve">37</w:t>
            </w:r>
          </w:p>
        </w:tc>
        <w:tc>
          <w:p>
            <w:pPr>
              <w:pStyle w:val="Compact"/>
              <w:jc w:val="left"/>
            </w:pPr>
            <w:r>
              <w:t xml:space="preserve">14.83 ± 44%</w:t>
            </w:r>
          </w:p>
        </w:tc>
        <w:tc>
          <w:p>
            <w:pPr>
              <w:pStyle w:val="Compact"/>
              <w:jc w:val="right"/>
            </w:pPr>
            <w:r>
              <w:t xml:space="preserve">7.39</w:t>
            </w:r>
          </w:p>
        </w:tc>
        <w:tc>
          <w:p>
            <w:pPr>
              <w:pStyle w:val="Compact"/>
              <w:jc w:val="right"/>
            </w:pPr>
            <w:r>
              <w:t xml:space="preserve">11.41</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LeechHead</w:t>
            </w:r>
          </w:p>
        </w:tc>
        <w:tc>
          <w:p>
            <w:pPr>
              <w:pStyle w:val="Compact"/>
              <w:jc w:val="left"/>
            </w:pPr>
            <w:r>
              <w:t xml:space="preserve">overall</w:t>
            </w:r>
          </w:p>
        </w:tc>
        <w:tc>
          <w:p>
            <w:pPr>
              <w:pStyle w:val="Compact"/>
              <w:jc w:val="right"/>
            </w:pPr>
            <w:r>
              <w:t xml:space="preserve">38</w:t>
            </w:r>
          </w:p>
        </w:tc>
        <w:tc>
          <w:p>
            <w:pPr>
              <w:pStyle w:val="Compact"/>
              <w:jc w:val="left"/>
            </w:pPr>
            <w:r>
              <w:t xml:space="preserve">7.34 ± 24%</w:t>
            </w:r>
          </w:p>
        </w:tc>
        <w:tc>
          <w:p>
            <w:pPr>
              <w:pStyle w:val="Compact"/>
              <w:jc w:val="right"/>
            </w:pPr>
            <w:r>
              <w:t xml:space="preserve">3.95</w:t>
            </w:r>
          </w:p>
        </w:tc>
        <w:tc>
          <w:p>
            <w:pPr>
              <w:pStyle w:val="Compact"/>
              <w:jc w:val="right"/>
            </w:pPr>
            <w:r>
              <w:t xml:space="preserve">7.05</w:t>
            </w:r>
          </w:p>
        </w:tc>
        <w:tc>
          <w:p>
            <w:pPr>
              <w:pStyle w:val="Compact"/>
              <w:jc w:val="right"/>
            </w:pPr>
            <w:r>
              <w:t xml:space="preserve">11.64</w:t>
            </w:r>
          </w:p>
        </w:tc>
        <w:tc>
          <w:p>
            <w:pPr>
              <w:pStyle w:val="Compact"/>
              <w:jc w:val="right"/>
            </w:pPr>
            <w:r>
              <w:t xml:space="preserve">38</w:t>
            </w:r>
          </w:p>
        </w:tc>
        <w:tc>
          <w:p>
            <w:pPr>
              <w:pStyle w:val="Compact"/>
              <w:jc w:val="left"/>
            </w:pPr>
            <w:r>
              <w:t xml:space="preserve">24.52 ± 18%</w:t>
            </w:r>
          </w:p>
        </w:tc>
        <w:tc>
          <w:p>
            <w:pPr>
              <w:pStyle w:val="Compact"/>
              <w:jc w:val="right"/>
            </w:pPr>
            <w:r>
              <w:t xml:space="preserve">11.69</w:t>
            </w:r>
          </w:p>
        </w:tc>
        <w:tc>
          <w:p>
            <w:pPr>
              <w:pStyle w:val="Compact"/>
              <w:jc w:val="right"/>
            </w:pPr>
            <w:r>
              <w:t xml:space="preserve">25.20</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CraggCrk</w:t>
            </w:r>
          </w:p>
        </w:tc>
        <w:tc>
          <w:p>
            <w:pPr>
              <w:pStyle w:val="Compact"/>
              <w:jc w:val="left"/>
            </w:pPr>
            <w:r>
              <w:t xml:space="preserve">overall</w:t>
            </w:r>
          </w:p>
        </w:tc>
        <w:tc>
          <w:p>
            <w:pPr>
              <w:pStyle w:val="Compact"/>
              <w:jc w:val="right"/>
            </w:pPr>
            <w:r>
              <w:t xml:space="preserve">56</w:t>
            </w:r>
          </w:p>
        </w:tc>
        <w:tc>
          <w:p>
            <w:pPr>
              <w:pStyle w:val="Compact"/>
              <w:jc w:val="left"/>
            </w:pPr>
            <w:r>
              <w:t xml:space="preserve">4.76 ± 32%</w:t>
            </w:r>
          </w:p>
        </w:tc>
        <w:tc>
          <w:p>
            <w:pPr>
              <w:pStyle w:val="Compact"/>
              <w:jc w:val="right"/>
            </w:pPr>
            <w:r>
              <w:t xml:space="preserve">2.58</w:t>
            </w:r>
          </w:p>
        </w:tc>
        <w:tc>
          <w:p>
            <w:pPr>
              <w:pStyle w:val="Compact"/>
              <w:jc w:val="right"/>
            </w:pPr>
            <w:r>
              <w:t xml:space="preserve">4.45</w:t>
            </w:r>
          </w:p>
        </w:tc>
        <w:tc>
          <w:p>
            <w:pPr>
              <w:pStyle w:val="Compact"/>
              <w:jc w:val="right"/>
            </w:pPr>
            <w:r>
              <w:t xml:space="preserve">8.22</w:t>
            </w:r>
          </w:p>
        </w:tc>
        <w:tc>
          <w:p>
            <w:pPr>
              <w:pStyle w:val="Compact"/>
              <w:jc w:val="right"/>
            </w:pPr>
            <w:r>
              <w:t xml:space="preserve">56</w:t>
            </w:r>
          </w:p>
        </w:tc>
        <w:tc>
          <w:p>
            <w:pPr>
              <w:pStyle w:val="Compact"/>
              <w:jc w:val="left"/>
            </w:pPr>
            <w:r>
              <w:t xml:space="preserve">15.36 ± 31%</w:t>
            </w:r>
          </w:p>
        </w:tc>
        <w:tc>
          <w:p>
            <w:pPr>
              <w:pStyle w:val="Compact"/>
              <w:jc w:val="right"/>
            </w:pPr>
            <w:r>
              <w:t xml:space="preserve">8.73</w:t>
            </w:r>
          </w:p>
        </w:tc>
        <w:tc>
          <w:p>
            <w:pPr>
              <w:pStyle w:val="Compact"/>
              <w:jc w:val="right"/>
            </w:pPr>
            <w:r>
              <w:t xml:space="preserve">13.89</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WestLeech</w:t>
            </w:r>
          </w:p>
        </w:tc>
        <w:tc>
          <w:p>
            <w:pPr>
              <w:pStyle w:val="Compact"/>
              <w:jc w:val="left"/>
            </w:pPr>
            <w:r>
              <w:t xml:space="preserve">overall</w:t>
            </w:r>
          </w:p>
        </w:tc>
        <w:tc>
          <w:p>
            <w:pPr>
              <w:pStyle w:val="Compact"/>
              <w:jc w:val="right"/>
            </w:pPr>
            <w:r>
              <w:t xml:space="preserve">52</w:t>
            </w:r>
          </w:p>
        </w:tc>
        <w:tc>
          <w:p>
            <w:pPr>
              <w:pStyle w:val="Compact"/>
              <w:jc w:val="left"/>
            </w:pPr>
            <w:r>
              <w:t xml:space="preserve">5.91 ± 41%</w:t>
            </w:r>
          </w:p>
        </w:tc>
        <w:tc>
          <w:p>
            <w:pPr>
              <w:pStyle w:val="Compact"/>
              <w:jc w:val="right"/>
            </w:pPr>
            <w:r>
              <w:t xml:space="preserve">2.33</w:t>
            </w:r>
          </w:p>
        </w:tc>
        <w:tc>
          <w:p>
            <w:pPr>
              <w:pStyle w:val="Compact"/>
              <w:jc w:val="right"/>
            </w:pPr>
            <w:r>
              <w:t xml:space="preserve">5.62</w:t>
            </w:r>
          </w:p>
        </w:tc>
        <w:tc>
          <w:p>
            <w:pPr>
              <w:pStyle w:val="Compact"/>
              <w:jc w:val="right"/>
            </w:pPr>
            <w:r>
              <w:t xml:space="preserve">10.95</w:t>
            </w:r>
          </w:p>
        </w:tc>
        <w:tc>
          <w:p>
            <w:pPr>
              <w:pStyle w:val="Compact"/>
              <w:jc w:val="right"/>
            </w:pPr>
            <w:r>
              <w:t xml:space="preserve">52</w:t>
            </w:r>
          </w:p>
        </w:tc>
        <w:tc>
          <w:p>
            <w:pPr>
              <w:pStyle w:val="Compact"/>
              <w:jc w:val="left"/>
            </w:pPr>
            <w:r>
              <w:t xml:space="preserve">17.07 ± 32%</w:t>
            </w:r>
          </w:p>
        </w:tc>
        <w:tc>
          <w:p>
            <w:pPr>
              <w:pStyle w:val="Compact"/>
              <w:jc w:val="right"/>
            </w:pPr>
            <w:r>
              <w:t xml:space="preserve">10.24</w:t>
            </w:r>
          </w:p>
        </w:tc>
        <w:tc>
          <w:p>
            <w:pPr>
              <w:pStyle w:val="Compact"/>
              <w:jc w:val="right"/>
            </w:pPr>
            <w:r>
              <w:t xml:space="preserve">16.65</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r>
        <w:tc>
          <w:p>
            <w:pPr>
              <w:pStyle w:val="Compact"/>
              <w:jc w:val="left"/>
            </w:pPr>
            <w:r>
              <w:t xml:space="preserve">Tunnel</w:t>
            </w:r>
          </w:p>
        </w:tc>
        <w:tc>
          <w:p>
            <w:pPr>
              <w:pStyle w:val="Compact"/>
              <w:jc w:val="left"/>
            </w:pPr>
            <w:r>
              <w:t xml:space="preserve">overall</w:t>
            </w:r>
          </w:p>
        </w:tc>
        <w:tc>
          <w:p>
            <w:pPr>
              <w:pStyle w:val="Compact"/>
              <w:jc w:val="right"/>
            </w:pPr>
            <w:r>
              <w:t xml:space="preserve">52</w:t>
            </w:r>
          </w:p>
        </w:tc>
        <w:tc>
          <w:p>
            <w:pPr>
              <w:pStyle w:val="Compact"/>
              <w:jc w:val="left"/>
            </w:pPr>
            <w:r>
              <w:t xml:space="preserve">4.94 ± 34%</w:t>
            </w:r>
          </w:p>
        </w:tc>
        <w:tc>
          <w:p>
            <w:pPr>
              <w:pStyle w:val="Compact"/>
              <w:jc w:val="right"/>
            </w:pPr>
            <w:r>
              <w:t xml:space="preserve">2.19</w:t>
            </w:r>
          </w:p>
        </w:tc>
        <w:tc>
          <w:p>
            <w:pPr>
              <w:pStyle w:val="Compact"/>
              <w:jc w:val="right"/>
            </w:pPr>
            <w:r>
              <w:t xml:space="preserve">4.98</w:t>
            </w:r>
          </w:p>
        </w:tc>
        <w:tc>
          <w:p>
            <w:pPr>
              <w:pStyle w:val="Compact"/>
              <w:jc w:val="right"/>
            </w:pPr>
            <w:r>
              <w:t xml:space="preserve">9.02</w:t>
            </w:r>
          </w:p>
        </w:tc>
        <w:tc>
          <w:p>
            <w:pPr>
              <w:pStyle w:val="Compact"/>
              <w:jc w:val="right"/>
            </w:pPr>
            <w:r>
              <w:t xml:space="preserve">52</w:t>
            </w:r>
          </w:p>
        </w:tc>
        <w:tc>
          <w:p>
            <w:pPr>
              <w:pStyle w:val="Compact"/>
              <w:jc w:val="left"/>
            </w:pPr>
            <w:r>
              <w:t xml:space="preserve">17.74 ± 27%</w:t>
            </w:r>
          </w:p>
        </w:tc>
        <w:tc>
          <w:p>
            <w:pPr>
              <w:pStyle w:val="Compact"/>
              <w:jc w:val="right"/>
            </w:pPr>
            <w:r>
              <w:t xml:space="preserve">11.08</w:t>
            </w:r>
          </w:p>
        </w:tc>
        <w:tc>
          <w:p>
            <w:pPr>
              <w:pStyle w:val="Compact"/>
              <w:jc w:val="right"/>
            </w:pPr>
            <w:r>
              <w:t xml:space="preserve">15.56</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4: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82"/>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 xml:space="preserve">254</w:t>
      </w:r>
      <w:r>
        <w:t xml:space="preserve">), which indicates NOM aromaticity and reactivity.</w:t>
      </w:r>
    </w:p>
    <w:p>
      <w:pPr>
        <w:pStyle w:val="BodyText"/>
      </w:pPr>
      <w:r>
        <w:t xml:space="preserve"> </w:t>
      </w:r>
    </w:p>
    <w:p>
      <w:pPr>
        <w:pStyle w:val="BodyText"/>
      </w:pPr>
      <w:r>
        <w:t xml:space="preserve"> </w:t>
      </w:r>
    </w:p>
    <w:p>
      <w:pPr>
        <w:pStyle w:val="Heading3"/>
      </w:pPr>
      <w:bookmarkStart w:id="83" w:name="discussion"/>
      <w:r>
        <w:t xml:space="preserve">Discussion</w:t>
      </w:r>
      <w:bookmarkEnd w:id="83"/>
    </w:p>
    <w:p>
      <w:pPr>
        <w:pStyle w:val="FirstParagraph"/>
      </w:pPr>
      <w:r>
        <w:t xml:space="preserve">Vertical Racks proved important for measuring event-based rising-limb NOM quantity and quality. Rising limb samples were 26% more concentrated, on average, than non-rising limb Grab samples.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Based on relative variance between Rack and Grab sample DOC, it seems that hydrologic pulses transported greater quantities of 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pPr>
        <w:pStyle w:val="BodyText"/>
      </w:pPr>
      <w:r>
        <w:t xml:space="preserve"> </w:t>
      </w:r>
    </w:p>
    <w:p>
      <w:pPr>
        <w:pStyle w:val="BodyText"/>
      </w:pPr>
      <w:r>
        <w:t xml:space="preserve">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Heading4"/>
      </w:pPr>
      <w:bookmarkStart w:id="84" w:name="spatial-patterns"/>
      <w:r>
        <w:t xml:space="preserve">Spatial patterns</w:t>
      </w:r>
      <w:bookmarkEnd w:id="84"/>
    </w:p>
    <w:p>
      <w:pPr>
        <w:pStyle w:val="FirstParagraph"/>
      </w:pPr>
      <w:r>
        <w:t xml:space="preserve">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In line with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NOM quality and quantity decreased from upstream to downstream sampling sites and there was greater variation in NOM character (i.e. reactivity, aromaticity, molecular size) at the headwater sites than the higher-order streams.</w:t>
      </w:r>
    </w:p>
    <w:p>
      <w:pPr>
        <w:pStyle w:val="BodyText"/>
      </w:pPr>
      <w:r>
        <w:t xml:space="preserve"> </w:t>
      </w:r>
    </w:p>
    <w:p>
      <w:pPr>
        <w:pStyle w:val="BodyText"/>
      </w:pPr>
      <w:r>
        <w:t xml:space="preserve">Data from the West Leech suggests that the pulse shunt concept</w:t>
      </w:r>
      <w:r>
        <w:t xml:space="preserve"> </w:t>
      </w:r>
      <w:r>
        <w:t xml:space="preserve">(Raymond et al.</w:t>
      </w:r>
      <w:r>
        <w:t xml:space="preserve"> </w:t>
      </w:r>
      <w:hyperlink w:anchor="ref-Raymond2016">
        <w:r>
          <w:rPr>
            <w:rStyle w:val="Hyperlink"/>
          </w:rPr>
          <w:t xml:space="preserve">2016</w:t>
        </w:r>
      </w:hyperlink>
      <w:r>
        <w:t xml:space="preserve">)</w:t>
      </w:r>
      <w:r>
        <w:t xml:space="preserve"> </w:t>
      </w:r>
      <w:r>
        <w:t xml:space="preserve">is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but it was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differences among sites’ NOM dynamics.</w:t>
      </w:r>
    </w:p>
    <w:p>
      <w:pPr>
        <w:pStyle w:val="BodyText"/>
      </w:pPr>
      <w:r>
        <w:t xml:space="preserve"> </w:t>
      </w:r>
    </w:p>
    <w:p>
      <w:pPr>
        <w:pStyle w:val="BodyText"/>
      </w:pPr>
      <w:r>
        <w:t xml:space="preserve">Overall, lower DOC was observed in the streams draining from the eastern portion of the Leech WSA catchment (Cragg and Chris crks) and higher DOC was observed in the streams draining from the west (West Leech and Weeks crk). While it is possible that aspect played a role in these spatial difference, the difference in subsurface geology in the west and east basins of the Leech WSA may have played an important role in NOM differences, this is explored in Chapter 4.</w:t>
      </w:r>
    </w:p>
    <w:p>
      <w:pPr>
        <w:pStyle w:val="BodyText"/>
      </w:pPr>
      <w:r>
        <w:t xml:space="preserve"> </w:t>
      </w:r>
    </w:p>
    <w:p>
      <w:pPr>
        <w:pStyle w:val="Heading4"/>
      </w:pPr>
      <w:bookmarkStart w:id="85" w:name="temporal-patterns"/>
      <w:r>
        <w:t xml:space="preserve">Temporal patterns</w:t>
      </w:r>
      <w:bookmarkEnd w:id="85"/>
    </w:p>
    <w:p>
      <w:pPr>
        <w:pStyle w:val="FirstParagraph"/>
      </w:pPr>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aqueous DOC during cold periods could have been due to intermittent soil frost (observed in the field), where freezing of terrestrial NOM sources effectively locked the source pool and reduced in-stream concentrations. It has been shown that freezing stream samples reduces DOC concentrations</w:t>
      </w:r>
      <w:r>
        <w:t xml:space="preserve"> </w:t>
      </w:r>
      <w:r>
        <w:t xml:space="preserve">(Fellman, D’Amore, and Hood</w:t>
      </w:r>
      <w:r>
        <w:t xml:space="preserve"> </w:t>
      </w:r>
      <w:hyperlink w:anchor="ref-Fellman2008">
        <w:r>
          <w:rPr>
            <w:rStyle w:val="Hyperlink"/>
          </w:rPr>
          <w:t xml:space="preserve">2008</w:t>
        </w:r>
      </w:hyperlink>
      <w:r>
        <w:t xml:space="preserve">)</w:t>
      </w:r>
      <w:r>
        <w:t xml:space="preserve">. The period of lowest winter DOC in this study also corresponded to low flows and snow accumulation in the GVWSA (particularly the Leech WSA). Laudon et al. </w:t>
      </w:r>
      <w:r>
        <w:t xml:space="preserve">(</w:t>
      </w:r>
      <w:hyperlink w:anchor="ref-Laudon2013">
        <w:r>
          <w:rPr>
            <w:rStyle w:val="Hyperlink"/>
          </w:rPr>
          <w:t xml:space="preserve">2013</w:t>
        </w:r>
      </w:hyperlink>
      <w:r>
        <w:t xml:space="preserve">)</w:t>
      </w:r>
      <w:r>
        <w:t xml:space="preserve"> </w:t>
      </w:r>
      <w:r>
        <w:t xml:space="preserve">found that winter DOC export was positively correlated to mean winter temperature. They and also noted that DOC export was linked to water export, so the low concentrations observed could also have been due to low flows</w:t>
      </w:r>
      <w:r>
        <w:t xml:space="preserve"> </w:t>
      </w:r>
      <w:r>
        <w:t xml:space="preserve">(Laudon et al.</w:t>
      </w:r>
      <w:r>
        <w:t xml:space="preserve"> </w:t>
      </w:r>
      <w:hyperlink w:anchor="ref-Laudon2013">
        <w:r>
          <w:rPr>
            <w:rStyle w:val="Hyperlink"/>
          </w:rPr>
          <w:t xml:space="preserve">2013</w:t>
        </w:r>
      </w:hyperlink>
      <w:r>
        <w:t xml:space="preserve">)</w:t>
      </w:r>
      <w:r>
        <w:t xml:space="preserve">.</w:t>
      </w:r>
    </w:p>
    <w:p>
      <w:pPr>
        <w:pStyle w:val="BodyText"/>
      </w:pPr>
      <w:r>
        <w:t xml:space="preserve"> </w:t>
      </w:r>
    </w:p>
    <w:p>
      <w:pPr>
        <w:pStyle w:val="BodyText"/>
      </w:pPr>
      <w:r>
        <w:t xml:space="preserve">DOC concentrations increased over the summer, reaching highs for the start of the wet season. Overall, there was negligible difference in NOM concentrations between seasons; both wet and dry seasons had mean DOC of 6 ± 3 mg/L. In general, stream DOC concentrations were higher than the recommended 4 mg/L of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r>
        <w:t xml:space="preserve"> </w:t>
      </w:r>
      <w:r>
        <w:t xml:space="preserve">(Stanley et al.</w:t>
      </w:r>
      <w:r>
        <w:t xml:space="preserve"> </w:t>
      </w:r>
      <w:hyperlink w:anchor="ref-Stanley2012">
        <w:r>
          <w:rPr>
            <w:rStyle w:val="Hyperlink"/>
          </w:rPr>
          <w:t xml:space="preserve">2012</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Rising limb samples generally had greater DOC concentrations and more reactive character than samples colelcted at other flows. Evaluating the Leech WSA monitoring site data more closely with respect to event-based changes will allow for a more detailed understanding of relationships between streamflow and NOM transport (Chapter 4).</w:t>
      </w:r>
    </w:p>
    <w:p>
      <w:pPr>
        <w:pStyle w:val="BodyText"/>
      </w:pPr>
      <w:r>
        <w:t xml:space="preserve"> </w:t>
      </w:r>
    </w:p>
    <w:p>
      <w:pPr>
        <w:pStyle w:val="Heading3"/>
      </w:pPr>
      <w:bookmarkStart w:id="86" w:name="summary-and-future-directions"/>
      <w:r>
        <w:t xml:space="preserve">Summary and future directions</w:t>
      </w:r>
      <w:bookmarkEnd w:id="86"/>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Rithet and Judge creeks, to compare event-based changes in more detail to Leech River. Expanded comparisons between the Leech Tunnel site, with Rithet and Judge crks would be particularly informative if conducted in conjunction with Sooke Reservoir water balance and residence time studies to evaluate changes to riverine source water in a reservoir (e.g. photodegredation of NOM).</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2"/>
      </w:pPr>
      <w:bookmarkStart w:id="87" w:name="Xc0aa9e12c65350b528203bb74f7409c5f844d25"/>
      <w:r>
        <w:t xml:space="preserve">Watershed Characteristics and Sampling Conditions as Driving Forces for Aqueous Natural Organic Dynamics Across the Leech River Watershed</w:t>
      </w:r>
      <w:bookmarkEnd w:id="87"/>
    </w:p>
    <w:p>
      <w:pPr>
        <w:pStyle w:val="FirstParagraph"/>
      </w:pPr>
      <w:r>
        <w:t xml:space="preserve"> </w:t>
      </w:r>
    </w:p>
    <w:p>
      <w:pPr>
        <w:pStyle w:val="Heading3"/>
      </w:pPr>
      <w:bookmarkStart w:id="88" w:name="synopsis"/>
      <w:r>
        <w:t xml:space="preserve">Synopsis</w:t>
      </w:r>
      <w:bookmarkEnd w:id="88"/>
    </w:p>
    <w:p>
      <w:pPr>
        <w:pStyle w:val="FirstParagraph"/>
      </w:pPr>
      <w:r>
        <w:t xml:space="preserve">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Results also confirmed that rising limb event-based Rack samples had higher DOC concentrations than non-rising limb samples.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 While seasonality and hydrologic pulses were expected to drive changes in aqueous NOM dynamics, differences in surfce and subsurface characteristics among the sub-basins could also be responsible for spatial variation in NOM dynamics.</w:t>
      </w:r>
    </w:p>
    <w:p>
      <w:pPr>
        <w:pStyle w:val="BodyText"/>
      </w:pPr>
      <w:r>
        <w:t xml:space="preserve"> </w:t>
      </w:r>
    </w:p>
    <w:p>
      <w:pPr>
        <w:pStyle w:val="BodyText"/>
      </w:pPr>
      <w:r>
        <w:t xml:space="preserve">Of the main tributaries to the Leech River mainstem, Cragg crk (draining from the east) had the lowest average DOC concentration and least aromatic reactive character, while West Leech NOM was higher in DOC concentration and more reactive NOM (Figure</w:t>
      </w:r>
      <w:r>
        <w:t xml:space="preserve"> </w:t>
      </w:r>
      <w:r>
        <w:t xml:space="preserve">15</w:t>
      </w:r>
      <w:r>
        <w:t xml:space="preserve">).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in concert with hydroclimatic conditions (e.g. antecedent rain, sampling stage) to identify possible explanatory variables for differences and drivers of change in NOM concentration and character across the six monitoring sites in the Leech WSA.</w:t>
      </w:r>
    </w:p>
    <w:p>
      <w:pPr>
        <w:pStyle w:val="BodyText"/>
      </w:pPr>
      <w:r>
        <w:t xml:space="preserve"> </w:t>
      </w:r>
    </w:p>
    <w:p>
      <w:pPr>
        <w:pStyle w:val="Heading3"/>
      </w:pPr>
      <w:bookmarkStart w:id="89" w:name="methods"/>
      <w:r>
        <w:t xml:space="preserve">Methods</w:t>
      </w:r>
      <w:bookmarkEnd w:id="89"/>
    </w:p>
    <w:p>
      <w:pPr>
        <w:pStyle w:val="Heading4"/>
      </w:pPr>
      <w:bookmarkStart w:id="90" w:name="site-details"/>
      <w:r>
        <w:t xml:space="preserve">Site details</w:t>
      </w:r>
      <w:bookmarkEnd w:id="90"/>
    </w:p>
    <w:p>
      <w:pPr>
        <w:pStyle w:val="FirstParagraph"/>
      </w:pPr>
      <w:r>
        <w:t xml:space="preserve">This chapter focuses on the six Leech WSA monitoring sites (Figure</w:t>
      </w:r>
      <w:r>
        <w:t xml:space="preserve"> </w:t>
      </w:r>
      <w:r>
        <w:t xml:space="preserve">15</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91"/>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are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monitoring site sub-basin characteristics. Variables preceded by square brackets indicate sub-surface features of parent material ([PM]) and soil groups ([S]).</w:t>
      </w:r>
    </w:p>
    <w:tbl>
      <w:tblPr>
        <w:tblStyle w:val="Table"/>
        <w:tblW w:type="pct" w:w="5000.0"/>
        <w:tblLook w:firstRow="1"/>
        <w:tblCaption w:val="Table 14: Summary of Leech watershed monitoring site sub-basin characteristic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2" w:name="random-forests"/>
      <w:r>
        <w:t xml:space="preserve">Random Forests</w:t>
      </w:r>
      <w:bookmarkEnd w:id="92"/>
    </w:p>
    <w:p>
      <w:pPr>
        <w:pStyle w:val="FirstParagraph"/>
      </w:pPr>
      <w:r>
        <w:t xml:space="preserve">Breiman’s Random Forests (RF) is a machine learning algorithm which composes a statistical tool for non-parametric regression, prediction, classification and assessment of variable importance</w:t>
      </w:r>
      <w:r>
        <w:t xml:space="preserve"> </w:t>
      </w:r>
      <w:r>
        <w:t xml:space="preserve">(Breiman</w:t>
      </w:r>
      <w:r>
        <w:t xml:space="preserve"> </w:t>
      </w:r>
      <w:hyperlink w:anchor="ref-Breiman2001">
        <w:r>
          <w:rPr>
            <w:rStyle w:val="Hyperlink"/>
          </w:rPr>
          <w:t xml:space="preserve">2001</w:t>
        </w:r>
      </w:hyperlink>
      <w:r>
        <w:t xml:space="preserve">; Strobl, Malley, and Tutz</w:t>
      </w:r>
      <w:r>
        <w:t xml:space="preserve"> </w:t>
      </w:r>
      <w:hyperlink w:anchor="ref-Strobl2009">
        <w:r>
          <w:rPr>
            <w:rStyle w:val="Hyperlink"/>
          </w:rPr>
          <w:t xml:space="preserve">2009</w:t>
        </w:r>
      </w:hyperlink>
      <w:r>
        <w:t xml:space="preserve">)</w:t>
      </w:r>
      <w:r>
        <w:t xml:space="preserve">. RF does not require independence among samples and is unique in its capacity to evaluate variable importance metrics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in RF can be determined by assessing the accuracy of how well the response variable (predictant) is anticipated in the absence or presence of each predictor feature (see Appendix G1 for extended background and details). Through the RF algorithm,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Heading5"/>
      </w:pPr>
      <w:bookmarkStart w:id="93" w:name="Xdbf072f9dd4ce108ca202b166b2eb71de070079"/>
      <w:r>
        <w:t xml:space="preserve">Predictor variable refinement and quality assurance</w:t>
      </w:r>
      <w:bookmarkEnd w:id="93"/>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 B). For antecedent rain and air temperatures, different periods of time were considered in exploratory data analysis. Intervals of 3, 5, 7, 14, 21 and 30 days prior to sample collection were evaluated for cross-correlations and relative VIM results.</w:t>
      </w:r>
    </w:p>
    <w:p>
      <w:pPr>
        <w:pStyle w:val="BodyText"/>
      </w:pPr>
      <w:r>
        <w:t xml:space="preserve"> </w:t>
      </w:r>
    </w:p>
    <w:p>
      <w:pPr>
        <w:pStyle w:val="BodyText"/>
      </w:pPr>
      <w:r>
        <w:t xml:space="preserve">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4" w:name="Xaf2e05463635f577d5804c529289485ef3a8cd2"/>
      <w:r>
        <w:t xml:space="preserve">Evaluating local extrema sample stage and DOC</w:t>
      </w:r>
      <w:bookmarkEnd w:id="94"/>
    </w:p>
    <w:p>
      <w:pPr>
        <w:pStyle w:val="FirstParagraph"/>
      </w:pPr>
      <w:r>
        <w:t xml:space="preserve">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5" w:name="X39556df01a469ad8897e62841e12b81dc8c495a"/>
      <w:r>
        <w:t xml:space="preserve">Foundational results of Random Forest refinement</w:t>
      </w:r>
      <w:bookmarkEnd w:id="95"/>
    </w:p>
    <w:p>
      <w:pPr>
        <w:pStyle w:val="FirstParagraph"/>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3"/>
          <w:ilvl w:val="0"/>
        </w:numPr>
      </w:pPr>
      <w:r>
        <w:t xml:space="preserve">metamorphic parent-material (wark gneiss, percent of basin)</w:t>
      </w:r>
    </w:p>
    <w:p>
      <w:pPr>
        <w:pStyle w:val="Compact"/>
        <w:numPr>
          <w:numId w:val="1003"/>
          <w:ilvl w:val="0"/>
        </w:numPr>
      </w:pPr>
      <w:r>
        <w:t xml:space="preserve">igneous parent material (Metchosin volcanics &amp; gabbro stocks, percent of basin)</w:t>
      </w:r>
    </w:p>
    <w:p>
      <w:pPr>
        <w:pStyle w:val="Compact"/>
        <w:numPr>
          <w:numId w:val="1003"/>
          <w:ilvl w:val="0"/>
        </w:numPr>
      </w:pPr>
      <w:r>
        <w:t xml:space="preserve">drainage area (km</w:t>
      </w:r>
      <w:r>
        <w:rPr>
          <w:vertAlign w:val="superscript"/>
        </w:rPr>
        <w:t xml:space="preserve">2</w:t>
      </w:r>
      <w:r>
        <w:t xml:space="preserve">)</w:t>
      </w:r>
    </w:p>
    <w:p>
      <w:pPr>
        <w:pStyle w:val="Compact"/>
        <w:numPr>
          <w:numId w:val="1003"/>
          <w:ilvl w:val="0"/>
        </w:numPr>
      </w:pPr>
      <w:r>
        <w:t xml:space="preserve">mean basin slope (degrees)</w:t>
      </w:r>
    </w:p>
    <w:p>
      <w:pPr>
        <w:pStyle w:val="Compact"/>
        <w:numPr>
          <w:numId w:val="1003"/>
          <w:ilvl w:val="0"/>
        </w:numPr>
      </w:pPr>
      <w:r>
        <w:t xml:space="preserve">tree age (average, years)</w:t>
      </w:r>
    </w:p>
    <w:p>
      <w:pPr>
        <w:pStyle w:val="Compact"/>
        <w:numPr>
          <w:numId w:val="1003"/>
          <w:ilvl w:val="0"/>
        </w:numPr>
      </w:pPr>
      <w:r>
        <w:t xml:space="preserve">logging history (percent of basin harvested 1980-2011)</w:t>
      </w:r>
    </w:p>
    <w:p>
      <w:pPr>
        <w:pStyle w:val="Compact"/>
        <w:numPr>
          <w:numId w:val="1003"/>
          <w:ilvl w:val="0"/>
        </w:numPr>
      </w:pPr>
      <w:r>
        <w:t xml:space="preserve">antecedent 7-day air temperatures (°C, mean)</w:t>
      </w:r>
    </w:p>
    <w:p>
      <w:pPr>
        <w:pStyle w:val="Compact"/>
        <w:numPr>
          <w:numId w:val="1003"/>
          <w:ilvl w:val="0"/>
        </w:numPr>
      </w:pPr>
      <w:r>
        <w:t xml:space="preserve">antecedent 30-day rain (mm, total)</w:t>
      </w:r>
    </w:p>
    <w:p>
      <w:pPr>
        <w:pStyle w:val="Compact"/>
        <w:numPr>
          <w:numId w:val="1003"/>
          <w:ilvl w:val="0"/>
        </w:numPr>
      </w:pPr>
      <w:r>
        <w:t xml:space="preserve">sampling stage (normalized)</w:t>
      </w:r>
    </w:p>
    <w:p>
      <w:pPr>
        <w:pStyle w:val="FirstParagraph"/>
      </w:pPr>
      <w:r>
        <w:t xml:space="preserve"> </w:t>
      </w:r>
    </w:p>
    <w:p>
      <w:pPr>
        <w:pStyle w:val="BodyText"/>
      </w:pPr>
      <w:r>
        <w:t xml:space="preserve">The length of antecedent periods of 30 days for antecedent rain and 7 days for antecedent air temperature were chosen because (1) they were not cross-correlated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w:t>
      </w:r>
      <w:r>
        <w:t xml:space="preserve"> </w:t>
      </w:r>
      <w:r>
        <w:t xml:space="preserve">(C. Strobl et al.</w:t>
      </w:r>
      <w:r>
        <w:t xml:space="preserve"> </w:t>
      </w:r>
      <w:hyperlink w:anchor="ref-Strobl2008">
        <w:r>
          <w:rPr>
            <w:rStyle w:val="Hyperlink"/>
          </w:rPr>
          <w:t xml:space="preserve">2008</w:t>
        </w:r>
      </w:hyperlink>
      <w:r>
        <w:t xml:space="preserve">)</w:t>
      </w:r>
      <w:r>
        <w:t xml:space="preserve">,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Heading5"/>
      </w:pPr>
      <w:bookmarkStart w:id="96" w:name="rf-quality-assurance"/>
      <w:r>
        <w:t xml:space="preserve">RF quality assurance</w:t>
      </w:r>
      <w:bookmarkEnd w:id="96"/>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Heading5"/>
      </w:pPr>
      <w:bookmarkStart w:id="97" w:name="rf-variable-groupings"/>
      <w:r>
        <w:t xml:space="preserve">RF variable groupings</w:t>
      </w:r>
      <w:bookmarkEnd w:id="97"/>
    </w:p>
    <w:p>
      <w:pPr>
        <w:pStyle w:val="FirstParagraph"/>
      </w:pPr>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 G2, Figure</w:t>
      </w:r>
      <w:r>
        <w:t xml:space="preserve"> </w:t>
      </w:r>
      <w:r>
        <w:t xml:space="preserve">38</w:t>
      </w:r>
      <w:r>
        <w:t xml:space="preserve">,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3"/>
      </w:pPr>
      <w:bookmarkStart w:id="98" w:name="results"/>
      <w:r>
        <w:t xml:space="preserve">Results</w:t>
      </w:r>
      <w:bookmarkEnd w:id="98"/>
    </w:p>
    <w:p>
      <w:pPr>
        <w:pStyle w:val="Heading4"/>
      </w:pPr>
      <w:bookmarkStart w:id="99" w:name="random-forest-variable-importance"/>
      <w:r>
        <w:t xml:space="preserve">Random Forest variable importance</w:t>
      </w:r>
      <w:bookmarkEnd w:id="99"/>
    </w:p>
    <w:p>
      <w:pPr>
        <w:pStyle w:val="Heading5"/>
      </w:pPr>
      <w:bookmarkStart w:id="100" w:name="doc-concentration"/>
      <w:r>
        <w:t xml:space="preserve">DOC: concentration</w:t>
      </w:r>
      <w:bookmarkEnd w:id="100"/>
    </w:p>
    <w:p>
      <w:pPr>
        <w:pStyle w:val="FirstParagraph"/>
      </w:pPr>
      <w:r>
        <w:t xml:space="preserve">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16</w:t>
      </w:r>
      <w:r>
        <w:t xml:space="preserve">).</w:t>
      </w:r>
    </w:p>
    <w:p>
      <w:pPr>
        <w:pStyle w:val="BodyText"/>
      </w:pPr>
      <w:r>
        <w:t xml:space="preserve"> </w:t>
      </w:r>
    </w:p>
    <w:p>
      <w:pPr>
        <w:pStyle w:val="CaptionedFigure"/>
      </w:pPr>
      <w:r>
        <w:drawing>
          <wp:inline>
            <wp:extent cx="5504749" cy="3669832"/>
            <wp:effectExtent b="0" l="0" r="0" t="0"/>
            <wp:docPr descr="Figure 16: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10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2" w:name="sac254-reactivity-aromaticity"/>
      <w:r>
        <w:t xml:space="preserve">SAC</w:t>
      </w:r>
      <w:r>
        <w:rPr>
          <w:vertAlign w:val="subscript"/>
        </w:rPr>
        <w:t xml:space="preserve">254</w:t>
      </w:r>
      <w:r>
        <w:t xml:space="preserve">: reactivity &amp; aromaticity</w:t>
      </w:r>
      <w:bookmarkEnd w:id="102"/>
    </w:p>
    <w:p>
      <w:pPr>
        <w:pStyle w:val="FirstParagraph"/>
      </w:pPr>
      <w:r>
        <w:t xml:space="preserve">Like DOC,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logging history (Figure</w:t>
      </w:r>
      <w:r>
        <w:t xml:space="preserve"> </w:t>
      </w:r>
      <w:r>
        <w:t xml:space="preserve">17</w:t>
      </w:r>
      <w:r>
        <w:t xml:space="preserve">).</w:t>
      </w:r>
    </w:p>
    <w:p>
      <w:pPr>
        <w:pStyle w:val="BodyText"/>
      </w:pPr>
      <w:r>
        <w:t xml:space="preserve"> </w:t>
      </w:r>
    </w:p>
    <w:p>
      <w:pPr>
        <w:pStyle w:val="CaptionedFigure"/>
      </w:pPr>
      <w:r>
        <w:drawing>
          <wp:inline>
            <wp:extent cx="5504749" cy="3669832"/>
            <wp:effectExtent b="0" l="0" r="0" t="0"/>
            <wp:docPr descr="Figure 17: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10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4"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104"/>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18</w:t>
      </w:r>
      <w:r>
        <w:t xml:space="preserve">).</w:t>
      </w:r>
    </w:p>
    <w:p>
      <w:pPr>
        <w:pStyle w:val="BodyText"/>
      </w:pPr>
      <w:r>
        <w:t xml:space="preserve"> </w:t>
      </w:r>
    </w:p>
    <w:p>
      <w:pPr>
        <w:pStyle w:val="CaptionedFigure"/>
      </w:pPr>
      <w:r>
        <w:drawing>
          <wp:inline>
            <wp:extent cx="5504749" cy="3669832"/>
            <wp:effectExtent b="0" l="0" r="0" t="0"/>
            <wp:docPr descr="Figure 18: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6" w:name="X106572f796f3bfb040ff29a6d24db4ec14a560b"/>
      <w:r>
        <w:t xml:space="preserve">Predictors in relation to NOM quantity and quality</w:t>
      </w:r>
      <w:bookmarkEnd w:id="106"/>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G2, Figure</w:t>
      </w:r>
      <w:r>
        <w:t xml:space="preserve"> </w:t>
      </w:r>
      <w:r>
        <w:t xml:space="preserve">38</w:t>
      </w:r>
      <w:r>
        <w:t xml:space="preserve">).</w:t>
      </w:r>
    </w:p>
    <w:p>
      <w:pPr>
        <w:pStyle w:val="BodyText"/>
      </w:pPr>
      <w:r>
        <w:t xml:space="preserve"> </w:t>
      </w:r>
    </w:p>
    <w:p>
      <w:pPr>
        <w:pStyle w:val="Heading5"/>
      </w:pPr>
      <w:bookmarkStart w:id="107" w:name="sampling-conditions"/>
      <w:r>
        <w:t xml:space="preserve">Sampling conditions</w:t>
      </w:r>
      <w:bookmarkEnd w:id="107"/>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influenced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8" w:name="sampling-stage"/>
      <w:r>
        <w:t xml:space="preserve">Sampling stage</w:t>
      </w:r>
      <w:bookmarkEnd w:id="108"/>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19</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19</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4587290"/>
            <wp:effectExtent b="0" l="0" r="0" t="0"/>
            <wp:docPr descr="Figure 19: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9"/>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10" w:name="antecedent-7-day-air-temperature"/>
      <w:r>
        <w:t xml:space="preserve">Antecedent 7-day air temperature</w:t>
      </w:r>
      <w:bookmarkEnd w:id="110"/>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20</w:t>
      </w:r>
      <w:r>
        <w:t xml:space="preserve">). DOC and 7-day temperature were positively related in the wet season with no obvious relationship in the dry season (Appendix G2, Figure</w:t>
      </w:r>
      <w:r>
        <w:t xml:space="preserve"> </w:t>
      </w:r>
      <w:r>
        <w:t xml:space="preserve">39</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20: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11"/>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12" w:name="antecedent-30-day-rain"/>
      <w:r>
        <w:t xml:space="preserve">Antecedent 30-day rain</w:t>
      </w:r>
      <w:bookmarkEnd w:id="112"/>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(~25% of maximum antecedent 30-day rain), NOM aromaticity and molecular size increased. At approximately 300 mm of 30-day antecedent rain, NOM aromaticity and molecular size appeared to become less variable (Figure</w:t>
      </w:r>
      <w:r>
        <w:t xml:space="preserve"> </w:t>
      </w:r>
      <w:r>
        <w:t xml:space="preserve">21</w:t>
      </w:r>
      <w:r>
        <w:t xml:space="preserve">).</w:t>
      </w:r>
    </w:p>
    <w:p>
      <w:pPr>
        <w:pStyle w:val="BodyText"/>
      </w:pPr>
      <w:r>
        <w:t xml:space="preserve"> </w:t>
      </w:r>
    </w:p>
    <w:p>
      <w:pPr>
        <w:pStyle w:val="BodyText"/>
      </w:pPr>
      <w:r>
        <w:t xml:space="preserve">Fewer sample results were obtained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with antecedent wetness was less precise (large uncertainty, Figure</w:t>
      </w:r>
      <w:r>
        <w:t xml:space="preserve"> </w:t>
      </w:r>
      <w:r>
        <w:t xml:space="preserve">21</w:t>
      </w:r>
      <w:r>
        <w:t xml:space="preserve">). For these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 G2, Figure</w:t>
      </w:r>
      <w:r>
        <w:t xml:space="preserve"> </w:t>
      </w:r>
      <w:r>
        <w:t xml:space="preserve">40</w:t>
      </w:r>
      <w:r>
        <w:t xml:space="preserve">).</w:t>
      </w:r>
    </w:p>
    <w:p>
      <w:pPr>
        <w:pStyle w:val="BodyText"/>
      </w:pPr>
      <w:r>
        <w:t xml:space="preserve"> </w:t>
      </w:r>
    </w:p>
    <w:p>
      <w:pPr>
        <w:pStyle w:val="CaptionedFigure"/>
      </w:pPr>
      <w:r>
        <w:drawing>
          <wp:inline>
            <wp:extent cx="3669832" cy="4587290"/>
            <wp:effectExtent b="0" l="0" r="0" t="0"/>
            <wp:docPr descr="Figure 21: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13"/>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BodyText"/>
      </w:pPr>
      <w:r>
        <w:t xml:space="preserve">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Heading5"/>
      </w:pPr>
      <w:bookmarkStart w:id="114" w:name="watershed-characteristics"/>
      <w:r>
        <w:t xml:space="preserve">Watershed characteristics</w:t>
      </w:r>
      <w:bookmarkEnd w:id="114"/>
    </w:p>
    <w:p>
      <w:pPr>
        <w:pStyle w:val="FirstParagraph"/>
      </w:pPr>
      <w:r>
        <w:t xml:space="preserve">Of watershed characteristics, the top predictors for NOM concentration and character were a combination of mean sub-basin slope, metamorphic parent material (percent of basin), logging history (percent of basin harvested 1980-2011), tree age (average) and/or drainage area.</w:t>
      </w:r>
    </w:p>
    <w:p>
      <w:pPr>
        <w:pStyle w:val="BodyText"/>
      </w:pPr>
      <w:r>
        <w:t xml:space="preserve"> </w:t>
      </w:r>
    </w:p>
    <w:p>
      <w:pPr>
        <w:pStyle w:val="Heading6"/>
      </w:pPr>
      <w:bookmarkStart w:id="115" w:name="sub-basin-slope"/>
      <w:r>
        <w:t xml:space="preserve">Sub-basin slope</w:t>
      </w:r>
      <w:bookmarkEnd w:id="115"/>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w:t>
      </w:r>
      <w:r>
        <w:t xml:space="preserve"> </w:t>
      </w:r>
      <w:r>
        <w:t xml:space="preserve">22</w:t>
      </w:r>
      <w:r>
        <w:t xml:space="preserve">). Slope was negatively correlated to percent wetland (-0.73), and wetlands are known to be linked with high DOC concentrations and greater NOM aromaticity</w:t>
      </w:r>
      <w:r>
        <w:t xml:space="preserve"> </w:t>
      </w:r>
      <w:r>
        <w:t xml:space="preserve">(e.g. @ Oliver et al.</w:t>
      </w:r>
      <w:r>
        <w:t xml:space="preserve"> </w:t>
      </w:r>
      <w:hyperlink w:anchor="ref-Oliver2017">
        <w:r>
          <w:rPr>
            <w:rStyle w:val="Hyperlink"/>
          </w:rPr>
          <w:t xml:space="preserve">2017</w:t>
        </w:r>
      </w:hyperlink>
      <w:r>
        <w:t xml:space="preserve">; Aiken and Cotsaris</w:t>
      </w:r>
      <w:r>
        <w:t xml:space="preserve"> </w:t>
      </w:r>
      <w:hyperlink w:anchor="ref-Aiken1995">
        <w:r>
          <w:rPr>
            <w:rStyle w:val="Hyperlink"/>
          </w:rPr>
          <w:t xml:space="preserve">1995</w:t>
        </w:r>
      </w:hyperlink>
      <w:r>
        <w:t xml:space="preserve">; Ågren et al.</w:t>
      </w:r>
      <w:r>
        <w:t xml:space="preserve"> </w:t>
      </w:r>
      <w:hyperlink w:anchor="ref-Agren2008">
        <w:r>
          <w:rPr>
            <w:rStyle w:val="Hyperlink"/>
          </w:rPr>
          <w:t xml:space="preserve">2008</w:t>
        </w:r>
      </w:hyperlink>
      <w:r>
        <w:t xml:space="preserve">; Musolff et al.</w:t>
      </w:r>
      <w:r>
        <w:t xml:space="preserve"> </w:t>
      </w:r>
      <w:hyperlink w:anchor="ref-Musolff2018">
        <w:r>
          <w:rPr>
            <w:rStyle w:val="Hyperlink"/>
          </w:rPr>
          <w:t xml:space="preserve">2018</w:t>
        </w:r>
      </w:hyperlink>
      <w:r>
        <w:t xml:space="preserve">)</w:t>
      </w:r>
      <w:r>
        <w:t xml:space="preserve">. Indeed, SAC</w:t>
      </w:r>
      <w:r>
        <w:rPr>
          <w:vertAlign w:val="subscript"/>
        </w:rPr>
        <w:t xml:space="preserve">254</w:t>
      </w:r>
      <w:r>
        <w:t xml:space="preserve"> </w:t>
      </w:r>
      <w:r>
        <w:t xml:space="preserve">indicated higher aromaticity in sub-basins with lower mean slope (Figure</w:t>
      </w:r>
      <w:r>
        <w:t xml:space="preserve"> </w:t>
      </w:r>
      <w:r>
        <w:t xml:space="preserve">22</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2: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6"/>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7" w:name="parent-material-metamorphic-wark-gneiss"/>
      <w:r>
        <w:t xml:space="preserve">Parent material (metamorphic wark gneiss)</w:t>
      </w:r>
      <w:bookmarkEnd w:id="117"/>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23</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23</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23</w:t>
      </w:r>
      <w:r>
        <w:t xml:space="preserve">).</w:t>
      </w:r>
    </w:p>
    <w:p>
      <w:pPr>
        <w:pStyle w:val="BodyText"/>
      </w:pPr>
      <w:r>
        <w:t xml:space="preserve"> </w:t>
      </w:r>
    </w:p>
    <w:p>
      <w:pPr>
        <w:pStyle w:val="CaptionedFigure"/>
      </w:pPr>
      <w:r>
        <w:drawing>
          <wp:inline>
            <wp:extent cx="3669832" cy="5504749"/>
            <wp:effectExtent b="0" l="0" r="0" t="0"/>
            <wp:docPr descr="Figure 23: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8"/>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9" w:name="logging-history-and-mean-tree-age"/>
      <w:r>
        <w:t xml:space="preserve">Logging history and mean tree age</w:t>
      </w:r>
      <w:bookmarkEnd w:id="119"/>
    </w:p>
    <w:p>
      <w:pPr>
        <w:pStyle w:val="FirstParagraph"/>
      </w:pPr>
      <w:r>
        <w:t xml:space="preserve">Logging history (percent of basin harvested from 1980-2011) was ranked first among watershed characteristics for predicting E</w:t>
      </w:r>
      <w:r>
        <w:rPr>
          <w:vertAlign w:val="subscript"/>
        </w:rPr>
        <w:t xml:space="preserve">2</w:t>
      </w:r>
      <w:r>
        <w:t xml:space="preserve">:E</w:t>
      </w:r>
      <w:r>
        <w:rPr>
          <w:vertAlign w:val="subscript"/>
        </w:rPr>
        <w:t xml:space="preserve">3</w:t>
      </w:r>
      <w:r>
        <w:t xml:space="preserve"> </w:t>
      </w:r>
      <w:r>
        <w:t xml:space="preserve">and third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DOC. Tree age and logging history were examined together because average tree age was partially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and did not match this pattern of less aromatic, lower molecular weight NOM with greater harvest history (Figure</w:t>
      </w:r>
      <w:r>
        <w:t xml:space="preserve"> </w:t>
      </w:r>
      <w:r>
        <w:t xml:space="preserve">24</w:t>
      </w:r>
      <w:r>
        <w:t xml:space="preserve">). The sites with more aromatic and higher molecular weight NOM were not clearly linked to average tree age (Figure</w:t>
      </w:r>
      <w:r>
        <w:t xml:space="preserve"> </w:t>
      </w:r>
      <w:r>
        <w:t xml:space="preserve">24</w:t>
      </w:r>
      <w:r>
        <w:t xml:space="preserve">).</w:t>
      </w:r>
    </w:p>
    <w:p>
      <w:pPr>
        <w:pStyle w:val="BodyText"/>
      </w:pPr>
      <w:r>
        <w:t xml:space="preserve"> </w:t>
      </w:r>
    </w:p>
    <w:p>
      <w:pPr>
        <w:pStyle w:val="BodyText"/>
      </w:pPr>
      <w:r>
        <w:t xml:space="preserve">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w:t>
      </w:r>
      <w:r>
        <w:rPr>
          <w:i/>
          <w:b/>
        </w:rPr>
        <w:t xml:space="preserve">statistically??</w:t>
      </w:r>
      <w:r>
        <w:t xml:space="preserve">); Cragg crk had greater molecular weight NOM than West Leech (but their error bars overlapped entirely). It is possible that the GIS data for forest harvest and tree age were missing some details, or that the average tree age was not a good indicator variable.</w:t>
      </w:r>
    </w:p>
    <w:p>
      <w:pPr>
        <w:pStyle w:val="BodyText"/>
      </w:pPr>
      <w:r>
        <w:t xml:space="preserve"> </w:t>
      </w:r>
    </w:p>
    <w:p>
      <w:pPr>
        <w:pStyle w:val="CaptionedFigure"/>
      </w:pPr>
      <w:r>
        <w:drawing>
          <wp:inline>
            <wp:extent cx="5943600" cy="5486399"/>
            <wp:effectExtent b="0" l="0" r="0" t="0"/>
            <wp:docPr descr="Figure 24: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20"/>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5"/>
      </w:pPr>
      <w:bookmarkStart w:id="121" w:name="variable-importance-summary"/>
      <w:r>
        <w:t xml:space="preserve">Variable importance Summary</w:t>
      </w:r>
      <w:bookmarkEnd w:id="121"/>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pPr>
        <w:pStyle w:val="BodyText"/>
      </w:pPr>
      <w:r>
        <w:t xml:space="preserve"> </w:t>
      </w:r>
    </w:p>
    <w:p>
      <w:pPr>
        <w:pStyle w:val="BodyText"/>
      </w:pPr>
      <w:r>
        <w:t xml:space="preserve">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pPr>
        <w:pStyle w:val="BodyText"/>
      </w:pPr>
      <w:r>
        <w:t xml:space="preserve"> </w:t>
      </w:r>
    </w:p>
    <w:p>
      <w:pPr>
        <w:pStyle w:val="Heading4"/>
      </w:pPr>
      <w:bookmarkStart w:id="122" w:name="X8a5360c2131915aff3d568048020d54c1b1f742"/>
      <w:r>
        <w:t xml:space="preserve">Warm and wet: seasonal patterns and rain events</w:t>
      </w:r>
      <w:bookmarkEnd w:id="122"/>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25</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5: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crk.</w:t>
      </w:r>
    </w:p>
    <w:p>
      <w:pPr>
        <w:pStyle w:val="BodyText"/>
      </w:pPr>
      <w:r>
        <w:t xml:space="preserve"> </w:t>
      </w:r>
    </w:p>
    <w:p>
      <w:pPr>
        <w:pStyle w:val="Heading5"/>
      </w:pPr>
      <w:bookmarkStart w:id="124" w:name="rising-stage-and-aqueous-nom-dynamics"/>
      <w:r>
        <w:t xml:space="preserve">Rising stage and aqueous NOM dynamics</w:t>
      </w:r>
      <w:bookmarkEnd w:id="124"/>
    </w:p>
    <w:p>
      <w:pPr>
        <w:pStyle w:val="FirstParagraph"/>
      </w:pPr>
      <w:r>
        <w:t xml:space="preserve">Antecedent moisture and/or sampling stage was important for each of the three predictant variables evaluated though RF VIM. Across the Leech WSA, the highest DOC concentration occurred in the earliest events of each wet season (events 1 &amp; 9, Table</w:t>
      </w:r>
      <w:r>
        <w:t xml:space="preserve"> </w:t>
      </w:r>
      <w:r>
        <w:t xml:space="preserve">15</w:t>
      </w:r>
      <w:r>
        <w:t xml:space="preserve">), while NOM reactivity (SAC</w:t>
      </w:r>
      <w:r>
        <w:rPr>
          <w:vertAlign w:val="subscript"/>
        </w:rPr>
        <w:t xml:space="preserve">254</w:t>
      </w:r>
      <w:r>
        <w:t xml:space="preserve">) peaked later, during the third major event in the 2019/2020 wet season (event 11, Table</w:t>
      </w:r>
      <w:r>
        <w:t xml:space="preserve"> </w:t>
      </w:r>
      <w:r>
        <w:t xml:space="preserve">15</w:t>
      </w:r>
      <w:r>
        <w:t xml:space="preserve">). Maximum NOM aromaticity and molecular size (E</w:t>
      </w:r>
      <w:r>
        <w:rPr>
          <w:vertAlign w:val="subscript"/>
        </w:rPr>
        <w:t xml:space="preserve">2</w:t>
      </w:r>
      <w:r>
        <w:t xml:space="preserve">:E</w:t>
      </w:r>
      <w:r>
        <w:rPr>
          <w:vertAlign w:val="subscript"/>
        </w:rPr>
        <w:t xml:space="preserve">3</w:t>
      </w:r>
      <w:r>
        <w:t xml:space="preserv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(with a threshold of 50 mm and 14-hour inter-event period) defined by Vertical Rack sample collection across the six monitoring sites of the Leech WSA</w:t>
      </w:r>
    </w:p>
    <w:tbl>
      <w:tblPr>
        <w:tblStyle w:val="Table"/>
        <w:tblW w:type="pct" w:w="5000.0"/>
        <w:tblLook w:firstRow="1"/>
        <w:tblCaption w:val="Table 15: Rain events (with a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16</w:t>
      </w:r>
      <w:r>
        <w:t xml:space="preserve">). As expected, stage changed at the fastest rate in the highest order stream, the Tunnel site, and slowest rate at Weeks crk.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if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the highest dissolved organic carbon (DOC) concentration was collected at the highest sample stage</w:t>
      </w:r>
    </w:p>
    <w:tbl>
      <w:tblPr>
        <w:tblStyle w:val="Table"/>
        <w:tblW w:type="pct" w:w="0.0"/>
        <w:tblLook w:firstRow="1"/>
        <w:tblCaption w:val="Table 17: Proportion of samples for which the highest dissolved organic carbon (DOC) concentration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0.5882</w:t>
            </w:r>
          </w:p>
        </w:tc>
        <w:tc>
          <w:p>
            <w:pPr>
              <w:pStyle w:val="Compact"/>
              <w:jc w:val="right"/>
            </w:pPr>
            <w:r>
              <w:t xml:space="preserve">0.6471</w:t>
            </w:r>
          </w:p>
        </w:tc>
      </w:tr>
      <w:tr>
        <w:tc>
          <w:p>
            <w:pPr>
              <w:pStyle w:val="Compact"/>
              <w:jc w:val="left"/>
            </w:pPr>
            <w:r>
              <w:t xml:space="preserve">ChrisCrk</w:t>
            </w:r>
          </w:p>
        </w:tc>
        <w:tc>
          <w:p>
            <w:pPr>
              <w:pStyle w:val="Compact"/>
              <w:jc w:val="right"/>
            </w:pPr>
            <w:r>
              <w:t xml:space="preserve">0.8000</w:t>
            </w:r>
          </w:p>
        </w:tc>
        <w:tc>
          <w:p>
            <w:pPr>
              <w:pStyle w:val="Compact"/>
              <w:jc w:val="right"/>
            </w:pPr>
            <w:r>
              <w:t xml:space="preserve">0.8000</w:t>
            </w:r>
          </w:p>
        </w:tc>
      </w:tr>
      <w:tr>
        <w:tc>
          <w:p>
            <w:pPr>
              <w:pStyle w:val="Compact"/>
              <w:jc w:val="left"/>
            </w:pPr>
            <w:r>
              <w:t xml:space="preserve">LeechHead</w:t>
            </w:r>
          </w:p>
        </w:tc>
        <w:tc>
          <w:p>
            <w:pPr>
              <w:pStyle w:val="Compact"/>
              <w:jc w:val="right"/>
            </w:pPr>
            <w:r>
              <w:t xml:space="preserve">0.8889</w:t>
            </w:r>
          </w:p>
        </w:tc>
        <w:tc>
          <w:p>
            <w:pPr>
              <w:pStyle w:val="Compact"/>
              <w:jc w:val="right"/>
            </w:pPr>
            <w:r>
              <w:t xml:space="preserve">0.8889</w:t>
            </w:r>
          </w:p>
        </w:tc>
      </w:tr>
      <w:tr>
        <w:tc>
          <w:p>
            <w:pPr>
              <w:pStyle w:val="Compact"/>
              <w:jc w:val="left"/>
            </w:pPr>
            <w:r>
              <w:t xml:space="preserve">CraggCrk</w:t>
            </w:r>
          </w:p>
        </w:tc>
        <w:tc>
          <w:p>
            <w:pPr>
              <w:pStyle w:val="Compact"/>
              <w:jc w:val="right"/>
            </w:pPr>
            <w:r>
              <w:t xml:space="preserve">0.8000</w:t>
            </w:r>
          </w:p>
        </w:tc>
        <w:tc>
          <w:p>
            <w:pPr>
              <w:pStyle w:val="Compact"/>
              <w:jc w:val="right"/>
            </w:pPr>
            <w:r>
              <w:t xml:space="preserve">0.9000</w:t>
            </w:r>
          </w:p>
        </w:tc>
      </w:tr>
      <w:tr>
        <w:tc>
          <w:p>
            <w:pPr>
              <w:pStyle w:val="Compact"/>
              <w:jc w:val="left"/>
            </w:pPr>
            <w:r>
              <w:t xml:space="preserve">WestLeech</w:t>
            </w:r>
          </w:p>
        </w:tc>
        <w:tc>
          <w:p>
            <w:pPr>
              <w:pStyle w:val="Compact"/>
              <w:jc w:val="right"/>
            </w:pPr>
            <w:r>
              <w:t xml:space="preserve">0.8636</w:t>
            </w:r>
          </w:p>
        </w:tc>
        <w:tc>
          <w:p>
            <w:pPr>
              <w:pStyle w:val="Compact"/>
              <w:jc w:val="right"/>
            </w:pPr>
            <w:r>
              <w:t xml:space="preserve">0.7727</w:t>
            </w:r>
          </w:p>
        </w:tc>
      </w:tr>
      <w:tr>
        <w:tc>
          <w:p>
            <w:pPr>
              <w:pStyle w:val="Compact"/>
              <w:jc w:val="left"/>
            </w:pPr>
            <w:r>
              <w:t xml:space="preserve">Tunnel</w:t>
            </w:r>
          </w:p>
        </w:tc>
        <w:tc>
          <w:p>
            <w:pPr>
              <w:pStyle w:val="Compact"/>
              <w:jc w:val="right"/>
            </w:pPr>
            <w:r>
              <w:t xml:space="preserve">0.7647</w:t>
            </w:r>
          </w:p>
        </w:tc>
        <w:tc>
          <w:p>
            <w:pPr>
              <w:pStyle w:val="Compact"/>
              <w:jc w:val="right"/>
            </w:pPr>
            <w:r>
              <w:t xml:space="preserve">0.9412</w:t>
            </w:r>
          </w:p>
        </w:tc>
      </w:tr>
      <w:tr>
        <w:tc>
          <w:p>
            <w:pPr>
              <w:pStyle w:val="Compact"/>
              <w:jc w:val="left"/>
            </w:pPr>
            <w:r>
              <w:t xml:space="preserve">all sites</w:t>
            </w:r>
          </w:p>
        </w:tc>
        <w:tc>
          <w:p>
            <w:pPr>
              <w:pStyle w:val="Compact"/>
              <w:jc w:val="right"/>
            </w:pPr>
            <w:r>
              <w:t xml:space="preserve">0.7895</w:t>
            </w:r>
          </w:p>
        </w:tc>
        <w:tc>
          <w:p>
            <w:pPr>
              <w:pStyle w:val="Compact"/>
              <w:jc w:val="right"/>
            </w:pPr>
            <w:r>
              <w:t xml:space="preserve">0.8246</w:t>
            </w:r>
          </w:p>
        </w:tc>
      </w:tr>
    </w:tbl>
    <w:p>
      <w:pPr>
        <w:pStyle w:val="BodyText"/>
      </w:pPr>
      <w:r>
        <w:t xml:space="preserve"> </w:t>
      </w:r>
    </w:p>
    <w:p>
      <w:pPr>
        <w:pStyle w:val="BodyText"/>
      </w:pPr>
      <w:r>
        <w:t xml:space="preserve">Four of the six site’s samples showed majority, but not absolute, agreement in extremes of DOC-stage relationships; Chris crk and Leech-head each had the same proportion of common maxima and minima. In general DOC concentrations were lowest at the beginning of events and increased with a rise in stage (Figure</w:t>
      </w:r>
      <w:r>
        <w:t xml:space="preserve"> </w:t>
      </w:r>
      <w:r>
        <w:t xml:space="preserve">26</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6:  Stage and samples collected, highlighting samples with maximum and minimum DOC concentrations for each rain event and collection period"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5"/>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Stage and samples collected, highlighting samples with maximum and minimum DOC concentrations for each rain event and collection period</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18</w:t>
      </w:r>
      <w:r>
        <w:t xml:space="preserve">). The smallest event-based concentration change occurred at Leech head (1.2%) and the Tunnel (1.4%). The largest event-based change in concentration was observed at West Leech (94.6%), and the second largest change occurred at Chris crk (82% change in DOC).</w:t>
      </w:r>
    </w:p>
    <w:p>
      <w:pPr>
        <w:pStyle w:val="BodyText"/>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Heading3"/>
      </w:pPr>
      <w:bookmarkStart w:id="126" w:name="discussion"/>
      <w:r>
        <w:t xml:space="preserve">Discussion</w:t>
      </w:r>
      <w:bookmarkEnd w:id="126"/>
    </w:p>
    <w:p>
      <w:pPr>
        <w:pStyle w:val="FirstParagraph"/>
      </w:pPr>
      <w:r>
        <w:t xml:space="preserve">The sampling conditions and watershed characteristics included in Random Forest variable importance measures (RF VIM) showed that across the six monitoring sites in the Leech WSA, stream NOM concentration and character were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pPr>
        <w:pStyle w:val="BodyText"/>
      </w:pPr>
      <w:r>
        <w:t xml:space="preserve"> </w:t>
      </w:r>
    </w:p>
    <w:p>
      <w:pPr>
        <w:pStyle w:val="BodyText"/>
      </w:pPr>
      <w:r>
        <w:t xml:space="preserve">NOM quantity and quality in each sub-basin was inversely realted to representation of metamorphic wark gneiss parent material, but the absence of wark gneiss did not correspond to the site with greatest NOM quantity or reactive and aromatic character. The patterns observed between NOM and metamorphic parent material suggests a more complex relationship between watershed characteristics and NOM dynamics. The metasedimentary Leech River formation (argillite metagreywacke and metagreywacke) was inversely correlated (-0.92) to wark gneiss in the monitoring basins and wasn’t included in RF VIM analyses. There may be an effect on aqueous NOM associated with a combination of parent materials and soil development that wasn’t full elucidated in this analysis.</w:t>
      </w:r>
    </w:p>
    <w:p>
      <w:pPr>
        <w:pStyle w:val="BodyText"/>
      </w:pPr>
      <w:r>
        <w:t xml:space="preserve"> </w:t>
      </w:r>
    </w:p>
    <w:p>
      <w:pPr>
        <w:pStyle w:val="BodyText"/>
      </w:pPr>
      <w:r>
        <w:t xml:space="preserve">Antecedent wetness is an important watershed driver for NOM export as it influences flow paths and hydrologic connectivity to source material</w:t>
      </w:r>
      <w:r>
        <w:t xml:space="preserve"> </w:t>
      </w:r>
      <w:r>
        <w:t xml:space="preserve">(McMillan et al.</w:t>
      </w:r>
      <w:r>
        <w:t xml:space="preserve"> </w:t>
      </w:r>
      <w:hyperlink w:anchor="ref-McMillan2018">
        <w:r>
          <w:rPr>
            <w:rStyle w:val="Hyperlink"/>
          </w:rPr>
          <w:t xml:space="preserve">2018</w:t>
        </w:r>
      </w:hyperlink>
      <w:r>
        <w:t xml:space="preserve">)</w:t>
      </w:r>
      <w:r>
        <w:t xml:space="preserve">. Solute supply and hydrologic connectivity can be interpreted through the magnitude and direction of water quality changes in response to precipitation</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In the Leech WSA, stage changed in response to precipitation and there was an apparent threshold (near 0.75 of peak sampling stage) that suggested a point at which terrestrial aromatic NOM pools had reached peak connectivity to the monitored streams.</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Event-based rising limb changes in DOC concentration varied from a little more than 1% (at Leech-head and the Tunnel) to 95% (at West Leech).</w:t>
      </w:r>
    </w:p>
    <w:p>
      <w:pPr>
        <w:pStyle w:val="BodyText"/>
      </w:pPr>
      <w:r>
        <w:t xml:space="preserve">In a west coast small-basins (&lt; 1 km</w:t>
      </w:r>
      <w:r>
        <w:rPr>
          <w:vertAlign w:val="superscript"/>
        </w:rPr>
        <w:t xml:space="preserve">2</w:t>
      </w:r>
      <w:r>
        <w:t xml:space="preserve">) study in the H. J. Andrews Experimental Forest (Oregon, CA) pre-storm DOC was measured at three sites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In the Leech WSA, DOC concentrations at the onset of stream rise were higher (2-6 mg/L) as were peak rising limb concentrations (6-16 mg/L), resulting in relative rising limb DOC changes bring less dramatic (&lt;100% increase) than Hood et. al found</w:t>
      </w:r>
      <w:r>
        <w:t xml:space="preserve"> </w:t>
      </w:r>
      <w:r>
        <w:t xml:space="preserve">(</w:t>
      </w:r>
      <w:hyperlink w:anchor="ref-Hood2006">
        <w:r>
          <w:rPr>
            <w:rStyle w:val="Hyperlink"/>
          </w:rPr>
          <w:t xml:space="preserve">2006</w:t>
        </w:r>
      </w:hyperlink>
      <w:r>
        <w:t xml:space="preserve">)</w:t>
      </w:r>
      <w:r>
        <w:t xml:space="preserve">. While the same relative magnitude of change in DOC was not measured in the Leech WSA, the methods used by Hood et al</w:t>
      </w:r>
      <w:r>
        <w:t xml:space="preserve"> </w:t>
      </w:r>
      <w:r>
        <w:t xml:space="preserve">(</w:t>
      </w:r>
      <w:hyperlink w:anchor="ref-Hood2006">
        <w:r>
          <w:rPr>
            <w:rStyle w:val="Hyperlink"/>
          </w:rPr>
          <w:t xml:space="preserve">2006</w:t>
        </w:r>
      </w:hyperlink>
      <w:r>
        <w:t xml:space="preserve">)</w:t>
      </w:r>
      <w:r>
        <w:t xml:space="preserve"> </w:t>
      </w:r>
      <w:r>
        <w:t xml:space="preserve">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realtively higher baseline DOC concentrations.</w:t>
      </w:r>
    </w:p>
    <w:p>
      <w:pPr>
        <w:pStyle w:val="BodyText"/>
      </w:pPr>
      <w:r>
        <w:t xml:space="preserve"> </w:t>
      </w:r>
    </w:p>
    <w:p>
      <w:pPr>
        <w:pStyle w:val="BodyText"/>
      </w:pPr>
      <w:r>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streams were hydrologically connected to a rich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w:t>
      </w:r>
    </w:p>
    <w:p>
      <w:pPr>
        <w:pStyle w:val="BodyText"/>
      </w:pPr>
      <w:r>
        <w:t xml:space="preserve"> </w:t>
      </w:r>
    </w:p>
    <w:p>
      <w:pPr>
        <w:pStyle w:val="BodyText"/>
      </w:pPr>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crk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These observed temporal changes in NOM concentration with stage is additional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 Aanother possible explanation for the concentration-stage threshold could be indicative of a transition point in the event hydrograph from soil water contributions to throughfall and overland flow</w:t>
      </w:r>
      <w:r>
        <w:t xml:space="preserve"> </w:t>
      </w:r>
      <w:r>
        <w:t xml:space="preserve">(Penna and Meerveld</w:t>
      </w:r>
      <w:r>
        <w:t xml:space="preserve"> </w:t>
      </w:r>
      <w:hyperlink w:anchor="ref-Penna2019">
        <w:r>
          <w:rPr>
            <w:rStyle w:val="Hyperlink"/>
          </w:rPr>
          <w:t xml:space="preserve">2019</w:t>
        </w:r>
      </w:hyperlink>
      <w:r>
        <w:t xml:space="preserve">)</w:t>
      </w:r>
      <w:r>
        <w:t xml:space="preserve">.</w:t>
      </w:r>
    </w:p>
    <w:p>
      <w:pPr>
        <w:pStyle w:val="BodyText"/>
      </w:pPr>
      <w:r>
        <w:t xml:space="preserve"> </w:t>
      </w:r>
    </w:p>
    <w:p>
      <w:pPr>
        <w:pStyle w:val="BodyText"/>
      </w:pPr>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p>
    <w:p>
      <w:pPr>
        <w:pStyle w:val="BodyText"/>
      </w:pPr>
      <w:r>
        <w:t xml:space="preserve"> </w:t>
      </w:r>
    </w:p>
    <w:p>
      <w:pPr>
        <w:pStyle w:val="Heading3"/>
      </w:pPr>
      <w:bookmarkStart w:id="127" w:name="summary-and-future-directions"/>
      <w:r>
        <w:t xml:space="preserve">Summary and future directions</w:t>
      </w:r>
      <w:bookmarkEnd w:id="127"/>
    </w:p>
    <w:p>
      <w:pPr>
        <w:pStyle w:val="FirstParagraph"/>
      </w:pPr>
      <w:r>
        <w:t xml:space="preserve">The parent material in each sub-basin was important for NOM dynamics. Although the precise relationship was not completely resolved, it was evident that a greater proportion of metamorphic parent material corresponded to lower concentrations of less aromatic and less reactive NOM in streams.</w:t>
      </w:r>
    </w:p>
    <w:p>
      <w:pPr>
        <w:pStyle w:val="BodyText"/>
      </w:pPr>
      <w:r>
        <w:t xml:space="preserve"> </w:t>
      </w:r>
    </w:p>
    <w:p>
      <w:pPr>
        <w:pStyle w:val="BodyText"/>
      </w:pPr>
      <w:r>
        <w:t xml:space="preserve">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pPr>
        <w:pStyle w:val="BodyText"/>
      </w:pPr>
      <w:r>
        <w:t xml:space="preserve"> </w:t>
      </w:r>
    </w:p>
    <w:p>
      <w:pPr>
        <w:pStyle w:val="BodyText"/>
      </w:pPr>
      <w:r>
        <w:t xml:space="preserve">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BodyText"/>
      </w:pPr>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C2) support this possibility. When a weather station is constructed in the West Leech basin, more precise explorations could be conducted with respect to antecedent wetness and water quality dynamics.</w:t>
      </w:r>
    </w:p>
    <w:p>
      <w:pPr>
        <w:pStyle w:val="BodyText"/>
      </w:pPr>
      <w:r>
        <w:t xml:space="preserve"> </w:t>
      </w:r>
    </w:p>
    <w:p>
      <w:pPr>
        <w:pStyle w:val="BodyText"/>
      </w:pPr>
      <w:r>
        <w:t xml:space="preserve">With additional weather data (e.g. humidity), it would be interesting and informative to explore whether the variables associated with increased fire risk or mass wasting might also be predictors for NOM dynamics (or any other water quality parameter of interest). The security of drinking water supply quality depends on weather, which is also a major player in other risks to the forested watershed. With greater understanding of the conditions and characteristics that drive water quality dynamics, an index system could be created that incorporates predictors for drinking water supply quality with those for forested watershed threats (e.g. wildfire or windthrow).</w:t>
      </w:r>
    </w:p>
    <w:p>
      <w:pPr>
        <w:pStyle w:val="BodyText"/>
      </w:pPr>
      <w:r>
        <w:t xml:space="preserve"> </w:t>
      </w:r>
    </w:p>
    <w:p>
      <w:pPr>
        <w:pStyle w:val="Heading2"/>
      </w:pPr>
      <w:bookmarkStart w:id="128" w:name="summary-and-conclusions"/>
      <w:r>
        <w:t xml:space="preserve">Summary and Conclusions</w:t>
      </w:r>
      <w:bookmarkEnd w:id="128"/>
    </w:p>
    <w:p>
      <w:pPr>
        <w:pStyle w:val="FirstParagraph"/>
      </w:pPr>
      <w:r>
        <w:t xml:space="preserve"> </w:t>
      </w:r>
    </w:p>
    <w:p>
      <w:pPr>
        <w:pStyle w:val="Heading3"/>
      </w:pPr>
      <w:bookmarkStart w:id="129" w:name="synopsis"/>
      <w:r>
        <w:t xml:space="preserve">Synopsis</w:t>
      </w:r>
      <w:bookmarkEnd w:id="129"/>
    </w:p>
    <w:p>
      <w:pPr>
        <w:pStyle w:val="FirstParagraph"/>
      </w:pPr>
      <w:r>
        <w:t xml:space="preserve">This project set out to characterize spatial and temporal dynamics in aqueous NOM quantity and quality across the Greater Victoria Water Supply Area (GVWSA), and to explore relationships between watershed variables and sample results across the Leech WSA. Chapters two and three tackled the first research question, which focused on method refinement for measuring variability and ranges of aqueous NOM. Spatiotemporal NOM data were collected through (1) six sub-basin sites equipped with Vertical Racks which logged river stage at 10-minute intervals, air and water temperature, and passively collected whole water samples during stormflow on the rising limb of the hydrograph; and (2) twelve sites, including the six sub-basin sites, were synoptically sampled every two to four weeks.</w:t>
      </w:r>
    </w:p>
    <w:p>
      <w:pPr>
        <w:pStyle w:val="BodyText"/>
      </w:pPr>
      <w:r>
        <w:t xml:space="preserve"> </w:t>
      </w:r>
    </w:p>
    <w:p>
      <w:pPr>
        <w:pStyle w:val="BodyText"/>
      </w:pPr>
      <w:r>
        <w:t xml:space="preserve">NOM quantity was measured as the concentration of dissolved organic carbon (DOC). NOM quality was assessed by proxy using the spectral absorbance coefficient at 254 nm (SAC</w:t>
      </w:r>
      <w:r>
        <w:rPr>
          <w:vertAlign w:val="subscript"/>
        </w:rPr>
        <w:t xml:space="preserve">254</w:t>
      </w:r>
      <w:r>
        <w:t xml:space="preserve">) as an indicator of reactivity with respect to disinfection byproduct formation potential. The ratio of SAC</w:t>
      </w:r>
      <w:r>
        <w:rPr>
          <w:vertAlign w:val="subscript"/>
        </w:rPr>
        <w:t xml:space="preserve">250</w:t>
      </w:r>
      <w:r>
        <w:t xml:space="preserve"> </w:t>
      </w:r>
      <w:r>
        <w:t xml:space="preserve">to 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was used as an indicator of NOM molecular size and aromaticity</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Results from the twelve sites were used to assess broad spatial and temporal patterns in stream NOM dynamics and more in-depth analyses were completed for the monitoring sites. Sample results were related to watershed characteristics and hydrometric sampling conditions to identify drivers for NOM dynamics across the Leech WSA (~96 km</w:t>
      </w:r>
      <w:r>
        <w:rPr>
          <w:vertAlign w:val="superscript"/>
        </w:rPr>
        <w:t xml:space="preserve">2</w:t>
      </w:r>
      <w:r>
        <w:t xml:space="preserve">) and its nested catchments (ranging in size from 9.6 to 37 km</w:t>
      </w:r>
      <w:r>
        <w:rPr>
          <w:vertAlign w:val="superscript"/>
        </w:rPr>
        <w:t xml:space="preserve">2</w:t>
      </w:r>
      <w:r>
        <w:t xml:space="preserve">).</w:t>
      </w:r>
    </w:p>
    <w:p>
      <w:pPr>
        <w:pStyle w:val="BodyText"/>
      </w:pPr>
      <w:r>
        <w:t xml:space="preserve"> </w:t>
      </w:r>
    </w:p>
    <w:p>
      <w:pPr>
        <w:pStyle w:val="Heading3"/>
      </w:pPr>
      <w:bookmarkStart w:id="130" w:name="foundational-key-findings"/>
      <w:r>
        <w:t xml:space="preserve">Foundational key findings</w:t>
      </w:r>
      <w:bookmarkEnd w:id="130"/>
    </w:p>
    <w:p>
      <w:pPr>
        <w:pStyle w:val="FirstParagraph"/>
      </w:pPr>
      <w:r>
        <w:t xml:space="preserve">Results of this study yielded six key findings which are provided below and discussed in the following sections. Foundational results elucidated two key findings:</w:t>
      </w:r>
    </w:p>
    <w:p>
      <w:pPr>
        <w:pStyle w:val="BodyText"/>
      </w:pPr>
      <w:r>
        <w:t xml:space="preserve">-1. Vertical Rack stream water sample stability depended on the field conditions that samples were held under and the sample content: early wet-season NOM was more labile and likely to change in concentration than later season samples.</w:t>
      </w:r>
      <w:r>
        <w:t xml:space="preserve"> </w:t>
      </w:r>
      <w:r>
        <w:t xml:space="preserve">-2. SAC</w:t>
      </w:r>
      <w:r>
        <w:rPr>
          <w:vertAlign w:val="subscript"/>
        </w:rPr>
        <w:t xml:space="preserve">254</w:t>
      </w:r>
      <w:r>
        <w:t xml:space="preserve"> </w:t>
      </w:r>
      <w:r>
        <w:t xml:space="preserve">was a better indicator of disinfection byproduct formation potential (DBP-FP) than was DOC concentration or specific UV absorbance at 254 nm (SUVA</w:t>
      </w:r>
      <w:r>
        <w:rPr>
          <w:vertAlign w:val="subscript"/>
        </w:rPr>
        <w:t xml:space="preserve">254</w:t>
      </w:r>
      <w:r>
        <w:t xml:space="preserve">).</w:t>
      </w:r>
    </w:p>
    <w:p>
      <w:pPr>
        <w:pStyle w:val="BodyText"/>
      </w:pPr>
      <w:r>
        <w:t xml:space="preserve"> </w:t>
      </w:r>
    </w:p>
    <w:p>
      <w:pPr>
        <w:pStyle w:val="Heading4"/>
      </w:pPr>
      <w:bookmarkStart w:id="131" w:name="rack-sample-stability"/>
      <w:r>
        <w:t xml:space="preserve">Rack sample stability</w:t>
      </w:r>
      <w:bookmarkEnd w:id="131"/>
    </w:p>
    <w:p>
      <w:pPr>
        <w:pStyle w:val="FirstParagraph"/>
      </w:pPr>
      <w:r>
        <w:t xml:space="preserve">Vertical Racks for passive rising-limb event hydrograph sampling were coupled with synoptic Grab sampling campaigns to measuring water quality changes over 16 months from October 2018 to February 2020. A challenge of Vertical Rack sampling is that high water can prohibit safe retrieval of collected samples from the Racks. Coupling continuously recorded stage with manually recorded siphon bottle heights allowed for calculation of sample hold-times and quality control measures for samples that had exceeded an acceptable holding time (Chapter 2). Hold-time experiments showed that aqueous NOM in early wet-season samples was unstable with respect to concentration and should be analyzed in less than seven days following collection. Later wet-season samples were stable on the vertical Rack for up to 20 days at temperatures between 0° C and 7° C. Samples held on the vertical Rack for 34 days showed changes to NOM quality and greater variability in concentration. Further evaluation and replicate experiments would clarify the effects of sample freezing on vertical racks, which has been shown to decrease sample DOC concentrations in laboratory experiments</w:t>
      </w:r>
      <w:r>
        <w:t xml:space="preserve"> </w:t>
      </w:r>
      <w:r>
        <w:t xml:space="preserve">(Fellman, D’Amore, and Hood</w:t>
      </w:r>
      <w:r>
        <w:t xml:space="preserve"> </w:t>
      </w:r>
      <w:hyperlink w:anchor="ref-Fellman2008">
        <w:r>
          <w:rPr>
            <w:rStyle w:val="Hyperlink"/>
          </w:rPr>
          <w:t xml:space="preserve">2008</w:t>
        </w:r>
      </w:hyperlink>
      <w:r>
        <w:t xml:space="preserve">)</w:t>
      </w:r>
      <w:r>
        <w:t xml:space="preserve">.</w:t>
      </w:r>
    </w:p>
    <w:p>
      <w:pPr>
        <w:pStyle w:val="BodyText"/>
      </w:pPr>
      <w:r>
        <w:t xml:space="preserve"> </w:t>
      </w:r>
    </w:p>
    <w:p>
      <w:pPr>
        <w:pStyle w:val="Heading4"/>
      </w:pPr>
      <w:bookmarkStart w:id="132" w:name="nom-as-a-master-variable"/>
      <w:r>
        <w:t xml:space="preserve">NOM as a master variable</w:t>
      </w:r>
      <w:bookmarkEnd w:id="132"/>
    </w:p>
    <w:p>
      <w:pPr>
        <w:pStyle w:val="FirstParagraph"/>
      </w:pPr>
      <w:r>
        <w: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w:t>
      </w:r>
      <w:r>
        <w:t xml:space="preserve"> </w:t>
      </w:r>
      <w:r>
        <w:t xml:space="preserve">(LaZerte</w:t>
      </w:r>
      <w:r>
        <w:t xml:space="preserve"> </w:t>
      </w:r>
      <w:hyperlink w:anchor="ref-LaZerte1991">
        <w:r>
          <w:rPr>
            <w:rStyle w:val="Hyperlink"/>
          </w:rPr>
          <w:t xml:space="preserve">1991</w:t>
        </w:r>
      </w:hyperlink>
      <w:r>
        <w:t xml:space="preserve">; Aiken, Hsu-Kim, and Ryan</w:t>
      </w:r>
      <w:r>
        <w:t xml:space="preserve"> </w:t>
      </w:r>
      <w:hyperlink w:anchor="ref-Aiken2011">
        <w:r>
          <w:rPr>
            <w:rStyle w:val="Hyperlink"/>
          </w:rPr>
          <w:t xml:space="preserve">2011</w:t>
        </w:r>
      </w:hyperlink>
      <w:r>
        <w:t xml:space="preserve">)</w:t>
      </w:r>
      <w:r>
        <w:t xml:space="preserve"> </w:t>
      </w:r>
      <w:r>
        <w:t xml:space="preserve">and In the Leech WSA, DOC was positively correlated (Appendix E2) to the concentrations of total mercury (r=0.9999), iron (r=0.83), manganese (r=0.77), and aluminum (r=0.63) as well as (to a lesser degree) barium (r=0.47), copper (0.42), and arsenic (r=0.33).</w:t>
      </w:r>
    </w:p>
    <w:p>
      <w:pPr>
        <w:pStyle w:val="BodyText"/>
      </w:pPr>
      <w:r>
        <w:t xml:space="preserve"> </w:t>
      </w:r>
    </w:p>
    <w:p>
      <w:pPr>
        <w:pStyle w:val="BodyText"/>
      </w:pPr>
      <w:r>
        <w:t xml:space="preserve">Additionally, NOM in drinking source water supply is partially responsible for the formation of disinfection by-products (DBPs) in treated drinking water</w:t>
      </w:r>
      <w:r>
        <w:t xml:space="preserve"> </w:t>
      </w:r>
      <w:r>
        <w:t xml:space="preserve">(Yang et al.</w:t>
      </w:r>
      <w:r>
        <w:t xml:space="preserve"> </w:t>
      </w:r>
      <w:hyperlink w:anchor="ref-Yang2015">
        <w:r>
          <w:rPr>
            <w:rStyle w:val="Hyperlink"/>
          </w:rPr>
          <w:t xml:space="preserve">2015</w:t>
        </w:r>
      </w:hyperlink>
      <w:r>
        <w:t xml:space="preserve">; Chow et al.</w:t>
      </w:r>
      <w:r>
        <w:t xml:space="preserve"> </w:t>
      </w:r>
      <w:hyperlink w:anchor="ref-Chow2008">
        <w:r>
          <w:rPr>
            <w:rStyle w:val="Hyperlink"/>
          </w:rPr>
          <w:t xml:space="preserve">2008</w:t>
        </w:r>
      </w:hyperlink>
      <w:r>
        <w:t xml:space="preserve">; Beauchamp et al.</w:t>
      </w:r>
      <w:r>
        <w:t xml:space="preserve"> </w:t>
      </w:r>
      <w:hyperlink w:anchor="ref-Beauchamp2018">
        <w:r>
          <w:rPr>
            <w:rStyle w:val="Hyperlink"/>
          </w:rPr>
          <w:t xml:space="preserve">2018</w:t>
        </w:r>
      </w:hyperlink>
      <w:r>
        <w:t xml:space="preserve">)</w:t>
      </w:r>
      <w:r>
        <w:t xml:space="preserve">. As a predictor of DBP-FPs, SAC</w:t>
      </w:r>
      <w:r>
        <w:rPr>
          <w:vertAlign w:val="subscript"/>
        </w:rPr>
        <w:t xml:space="preserve">254</w:t>
      </w:r>
      <w:r>
        <w:t xml:space="preserve"> </w:t>
      </w:r>
      <w:r>
        <w:t xml:space="preserve">was better correlated (r=0.68; Appendix E1) than SUVA</w:t>
      </w:r>
      <w:r>
        <w:rPr>
          <w:vertAlign w:val="subscript"/>
        </w:rPr>
        <w:t xml:space="preserve">254</w:t>
      </w:r>
      <w:r>
        <w:t xml:space="preserve"> </w:t>
      </w:r>
      <w:r>
        <w:t xml:space="preserve">or DOC concentration and was used as an indicator of NOM reactivity with respect to DBP-FPs.</w:t>
      </w:r>
    </w:p>
    <w:p>
      <w:pPr>
        <w:pStyle w:val="BodyText"/>
      </w:pPr>
      <w:r>
        <w:t xml:space="preserve"> </w:t>
      </w:r>
    </w:p>
    <w:p>
      <w:pPr>
        <w:pStyle w:val="BodyText"/>
      </w:pPr>
      <w:r>
        <w:t xml:space="preserve">Because NOM is tied to transport of contaminants and drinking water treatment challenges, understanding spatiotemporal dynamics of this master variable is important for maintaining drinking water security and mitigating treatment challenges.</w:t>
      </w:r>
    </w:p>
    <w:p>
      <w:pPr>
        <w:pStyle w:val="BodyText"/>
      </w:pPr>
      <w:r>
        <w:t xml:space="preserve"> </w:t>
      </w:r>
    </w:p>
    <w:p>
      <w:pPr>
        <w:pStyle w:val="Heading3"/>
      </w:pPr>
      <w:bookmarkStart w:id="133" w:name="X9a0ac998c0e9ec1f76af15fb5e8eaae970954f0"/>
      <w:r>
        <w:t xml:space="preserve">Spatiotemporal patterns in NOM quantity and quality</w:t>
      </w:r>
      <w:bookmarkEnd w:id="133"/>
    </w:p>
    <w:p>
      <w:pPr>
        <w:pStyle w:val="FirstParagraph"/>
      </w:pPr>
      <w:r>
        <w:t xml:space="preserve">Analyses of NOM quantity and quality over space and time clarified spatiotemporal patterns which included these main findings:</w:t>
      </w:r>
    </w:p>
    <w:p>
      <w:pPr>
        <w:pStyle w:val="BodyText"/>
      </w:pPr>
      <w:r>
        <w:t xml:space="preserve">-1. In each season, DOC concentration was loosely correlated to air temperature, with higher concentrations occurring at warmer temperatures and lower concentrations occurring at lower temperatures. The seasonal averages in DOC concentration were approximately equal (6 ± 3 mg/L).</w:t>
      </w:r>
      <w:r>
        <w:t xml:space="preserve"> </w:t>
      </w:r>
      <w:r>
        <w:t xml:space="preserve">-2. There was a seasonal shift in NOM character, from predominantly aliphatic in the dry season to predominantly aromatic in the wet season.</w:t>
      </w:r>
      <w:r>
        <w:t xml:space="preserve"> </w:t>
      </w:r>
      <w:r>
        <w:t xml:space="preserve">-3. NOM quantity decreased from upstream to downstream in both seasons, as did NOM reactivity. However, while NOM molecular size and aromaticity decreased from low to high order streams in the wet season, the reverse was observed in the dry season.</w:t>
      </w:r>
      <w:r>
        <w:t xml:space="preserve"> </w:t>
      </w:r>
      <w:r>
        <w:t xml:space="preserve">-4. In the Leech WSA, streams draining the west of the watershed had higher DOC concentrations of more reactive and aromatic NOM compared to streams draining from the east. A key difference between the two sides of the watershed is dominant parent material, where basins predominantly underlain by wark gneiss had lower DOC concentrations and those underlain by the Leech River formation (metagreywacke) had higher DOC concentrations. Random Forest (RF) variable importance measure (VIM) determined that subsurface parent material was a key driver for NOM quantity and quality.</w:t>
      </w:r>
    </w:p>
    <w:p>
      <w:pPr>
        <w:pStyle w:val="BodyText"/>
      </w:pPr>
      <w:r>
        <w:t xml:space="preserve"> </w:t>
      </w:r>
    </w:p>
    <w:p>
      <w:pPr>
        <w:pStyle w:val="Heading5"/>
      </w:pPr>
      <w:bookmarkStart w:id="134" w:name="temporal-patterns"/>
      <w:r>
        <w:t xml:space="preserve">Temporal patterns</w:t>
      </w:r>
      <w:bookmarkEnd w:id="134"/>
    </w:p>
    <w:p>
      <w:pPr>
        <w:numPr>
          <w:numId w:val="1004"/>
          <w:ilvl w:val="0"/>
        </w:numPr>
      </w:pPr>
      <w:r>
        <w:t xml:space="preserve">In each season, DOC concentration was loosely correlated to air temperature, with higher concentrations occurring at warmer temperatures and lower concentrations occurring at lower temperatures. The seasonal averages in DOC concentration were approximately equal (6 ± 3 mg/L).</w:t>
      </w:r>
    </w:p>
    <w:p>
      <w:pPr>
        <w:numPr>
          <w:numId w:val="1004"/>
          <w:ilvl w:val="0"/>
        </w:numPr>
      </w:pPr>
      <w:r>
        <w:t xml:space="preserve">There was a seasonal shift in NOM character, from predominantly aliphatic in the dry season to predominantly aromatic in the wet season.</w:t>
      </w:r>
    </w:p>
    <w:p>
      <w:pPr>
        <w:pStyle w:val="FirstParagraph"/>
      </w:pPr>
      <w:r>
        <w:t xml:space="preserve"> </w:t>
      </w:r>
    </w:p>
    <w:p>
      <w:pPr>
        <w:pStyle w:val="BodyText"/>
      </w:pPr>
      <w:r>
        <w:t xml:space="preserve">While the average quantity of NOM was the same between seasons (6 ± 3 mg/L DOC), the quality of NOM differed. Aqueous NOM was larger, more aromatic and more reactive during the wet seasons than during the dry season; this seasonal character shift from autochthonous to allochthonous source quality was also predicted by the RCC.</w:t>
      </w:r>
    </w:p>
    <w:p>
      <w:pPr>
        <w:pStyle w:val="BodyText"/>
      </w:pPr>
      <w:r>
        <w:t xml:space="preserve"> </w:t>
      </w:r>
    </w:p>
    <w:p>
      <w:pPr>
        <w:pStyle w:val="BodyText"/>
      </w:pPr>
      <w:r>
        <w:t xml:space="preserve">Spatially, in both wet and dry seasons, DOC concentrations decreased from low to higher order streams, but NOM quality had opposite longitudinal patterns in each season. From low to high order streams, there was an increase in aromaticity and molecular size (indicated by E</w:t>
      </w:r>
      <w:r>
        <w:rPr>
          <w:vertAlign w:val="subscript"/>
        </w:rPr>
        <w:t xml:space="preserve">2</w:t>
      </w:r>
      <w:r>
        <w:t xml:space="preserve">:E</w:t>
      </w:r>
      <w:r>
        <w:rPr>
          <w:vertAlign w:val="subscript"/>
        </w:rPr>
        <w:t xml:space="preserve">3</w:t>
      </w:r>
      <w:r>
        <w:t xml:space="preserve">) during the dry season and a decrease in the wet season. The wet season decrease in NOM aromaticity was expected to occur in tandem with the longitudinal decrease in DOC concentration, due to dilution effects along stream reaches. In contrast, it was not expected that higher order streams would have larger and more aromatic NOM than lower order streams during the dry season, especially when DOC concentrations showed the opposite pattern. During downstream transport at low flows, is was expected that NOM would decrease in aromaticity due to abiotic or biotic oxidation (e.g. photodegradation and/or heterotrophic processing).</w:t>
      </w:r>
    </w:p>
    <w:p>
      <w:pPr>
        <w:pStyle w:val="BodyText"/>
      </w:pPr>
      <w:r>
        <w:t xml:space="preserve">It is possible that the simultaneous increase in absorbance and decrease in organic carbon</w:t>
      </w:r>
    </w:p>
    <w:p>
      <w:pPr>
        <w:pStyle w:val="BodyText"/>
      </w:pPr>
      <w:r>
        <w:t xml:space="preserve"> </w:t>
      </w:r>
    </w:p>
    <w:p>
      <w:pPr>
        <w:pStyle w:val="BodyText"/>
      </w:pPr>
      <w:r>
        <w:t xml:space="preserve">The relative elevation in downstream NOM aromaticity and molecular size (higher SAC</w:t>
      </w:r>
      <w:r>
        <w:rPr>
          <w:vertAlign w:val="subscript"/>
        </w:rPr>
        <w:t xml:space="preserve">254</w:t>
      </w:r>
      <w:r>
        <w:t xml:space="preserve"> </w:t>
      </w:r>
      <w:r>
        <w:t xml:space="preserve">and lower E</w:t>
      </w:r>
      <w:r>
        <w:rPr>
          <w:vertAlign w:val="subscript"/>
        </w:rPr>
        <w:t xml:space="preserve">2</w:t>
      </w:r>
      <w:r>
        <w:t xml:space="preserve">:E</w:t>
      </w:r>
      <w:r>
        <w:rPr>
          <w:vertAlign w:val="subscript"/>
        </w:rPr>
        <w:t xml:space="preserve">3</w:t>
      </w:r>
      <w:r>
        <w:t xml:space="preserve">) during the dry season could be due to UV-Vis interference: like chromophoric NOM (the target analyte), other dissolved inorganic species (e.g. iron, nitrate, nitrite, bromide) also absorb light at wavelengths around 254 nm</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Concentrations of iron and nitrogen species were not measured, therefore their interference cannot be confirmed; however, the full scan absorption spectra (not shown here) displayed gradual decrease in absorbance with increasing wavelength with no major spikes, suggesting few interferences. Therefore, it seems more likely that the spectral indicies were indeed indicative of greater NOM aromaticity at lower reaches in the dry months, and were not due to aqueous species interference.</w:t>
      </w:r>
    </w:p>
    <w:p>
      <w:pPr>
        <w:pStyle w:val="BodyText"/>
      </w:pPr>
      <w:r>
        <w:t xml:space="preserve"> </w:t>
      </w:r>
    </w:p>
    <w:p>
      <w:pPr>
        <w:pStyle w:val="BodyText"/>
      </w:pPr>
      <w:r>
        <w:t xml:space="preserve">More aromatic NOM at lower reaches could have been due to humic inputs from NOM-rich tributaries feeding higher order streams, or perhaps in-stream microbial processing of terrestrial organic matter (e.g. leaf litter) generated aqueous humic solutes.</w:t>
      </w:r>
    </w:p>
    <w:p>
      <w:pPr>
        <w:pStyle w:val="BodyText"/>
      </w:pPr>
      <w:r>
        <w:t xml:space="preserve"> </w:t>
      </w:r>
    </w:p>
    <w:p>
      <w:pPr>
        <w:pStyle w:val="BodyText"/>
      </w:pPr>
      <w:r>
        <w:t xml:space="preserve">More aromatic NOM in the wet season was likely sources from autochthonous terrestrial sources (e.g., humic and fluvic acids), while the less aromatic dry season NOM . it’s quite possibly that the increase in summer DOC was due to autochthonous sources such as algae and cyanobacteria, while fall DOC was</w:t>
      </w:r>
    </w:p>
    <w:p>
      <w:pPr>
        <w:pStyle w:val="BodyText"/>
      </w:pPr>
      <w:r>
        <w:t xml:space="preserve"> </w:t>
      </w:r>
    </w:p>
    <w:p>
      <w:pPr>
        <w:pStyle w:val="Compact"/>
        <w:numPr>
          <w:numId w:val="1005"/>
          <w:ilvl w:val="0"/>
        </w:numPr>
      </w:pP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Compact"/>
        <w:numPr>
          <w:numId w:val="1005"/>
          <w:ilvl w:val="0"/>
        </w:numPr>
      </w:pPr>
      <w:r>
        <w:t xml:space="preserve">Mean DOC was the same, on average, in the wet and dry seasons (6 ± 3 mg/L).</w:t>
      </w:r>
    </w:p>
    <w:p>
      <w:pPr>
        <w:pStyle w:val="Compact"/>
        <w:numPr>
          <w:numId w:val="1005"/>
          <w:ilvl w:val="0"/>
        </w:numPr>
      </w:pPr>
      <w:r>
        <w:t xml:space="preserve">seasonal shift from autochthonous NOM sources in the dry season to allochthonous NOM sources in the wet season</w:t>
      </w:r>
    </w:p>
    <w:p>
      <w:pPr>
        <w:pStyle w:val="Compact"/>
        <w:numPr>
          <w:numId w:val="1005"/>
          <w:ilvl w:val="0"/>
        </w:numPr>
      </w:pPr>
      <w:r>
        <w:t xml:space="preserve">In the wet season, when hydrologic connectivity was greatest, the West Leech sub-basin had aromaticity and molecular size comparable to that of the wetland and lake-dominated Weeks crk sub-basin; though in the dry season, Weeks crk maintained highly aromatic character of stream NOM while the other sub-basins had lower molecular wight, less aromatic NOM than was found at the Tunnel site. The dry season spatial pattern of NOM quality was not expected. Based on the RCC, it was expected that there would be a spatial reduction in NOM character from headwaters to mouth. However, in the dry season, samples collected at the highest order stream (at the future point of diversion) were more aromatic in NOM character than all of the nested catchments except for Weeks crk, which maintained highly aromatic NOM throughout the year due to proximity to the wetlands of Weeks Lake.</w:t>
      </w:r>
      <w:r>
        <w:br/>
      </w:r>
    </w:p>
    <w:p>
      <w:pPr>
        <w:pStyle w:val="Compact"/>
        <w:numPr>
          <w:numId w:val="1005"/>
          <w:ilvl w:val="0"/>
        </w:numPr>
      </w:pPr>
      <w:r>
        <w:t xml:space="preserve">storm responses: early in the wet season there was a decrease in NOM concentration with increasing flows (higher stage), and as the wet season progresses, stream NOM concentration and aromaticity increased with increasing flows.</w:t>
      </w:r>
    </w:p>
    <w:p>
      <w:pPr>
        <w:pStyle w:val="Compact"/>
        <w:numPr>
          <w:numId w:val="1005"/>
          <w:ilvl w:val="0"/>
        </w:numPr>
      </w:pPr>
      <w:r>
        <w:t xml:space="preserve">The river continuum concept (RCC) explains temporal changes in NOM character through variable mobilization of source material and biogeochemical processing…</w:t>
      </w:r>
      <w:r>
        <w:t xml:space="preserve"> </w:t>
      </w:r>
      <w:r>
        <w:t xml:space="preserve">predicts a temporal shift in NOM character from autochthonous (e.g. algal) to allochthonous (e.g. humic material) sources, and a spatial reduction in NOM molecular diversity from headwaters to river mouth.</w:t>
      </w:r>
    </w:p>
    <w:p>
      <w:pPr>
        <w:pStyle w:val="Compact"/>
        <w:numPr>
          <w:numId w:val="1005"/>
          <w:ilvl w:val="0"/>
        </w:numPr>
      </w:pPr>
      <w:r>
        <w:t xml:space="preserve">Mean DOC among the six sites was essentially the same in both the wet and dry seasons (Chapter 3), but spatial patterns differed between the seasons. In the dry season, aqueous NOM aromaticity increased from upstream to downstream monitoring sites; while the wet season showed effects of dilution on both the quantity and quality of NOM. These seasonal differences support both a shift in NOM source material and a shift from NOM processing in the dry season and transport/dilution effects in the wet season.</w:t>
      </w:r>
    </w:p>
    <w:p>
      <w:pPr>
        <w:pStyle w:val="FirstParagraph"/>
      </w:pPr>
      <w:r>
        <w:t xml:space="preserve"> </w:t>
      </w:r>
    </w:p>
    <w:p>
      <w:pPr>
        <w:pStyle w:val="Heading5"/>
      </w:pPr>
      <w:bookmarkStart w:id="135" w:name="spatial-patterns"/>
      <w:r>
        <w:t xml:space="preserve">Spatial patterns</w:t>
      </w:r>
      <w:bookmarkEnd w:id="135"/>
    </w:p>
    <w:p>
      <w:pPr>
        <w:pStyle w:val="Compact"/>
        <w:numPr>
          <w:numId w:val="1006"/>
          <w:ilvl w:val="0"/>
        </w:numPr>
      </w:pPr>
      <w:r>
        <w:t xml:space="preserve">NOM quantity decreased from upstream to downstream in both seasons, as did NOM reactivity. However, while NOM molecular size and aromaticity decreased from low to high order streams in the wet season, the reverse was observed in the dry season.</w:t>
      </w:r>
    </w:p>
    <w:p>
      <w:pPr>
        <w:pStyle w:val="FirstParagraph"/>
      </w:pPr>
      <w:r>
        <w:t xml:space="preserve">*In the Leech WSA, streams draining the west of the watershed had higher DOC concentrations of more reactive and aromatic NOM compared to streams draining from the east. A key difference between the two sides of the watershed is dominant parent material, where basins predominantly underlain by wark gneiss had lower DOC concentrations and those underlain by the Leech River formation (metagreywacke) had higher DOC concentrations. Random Forest (RF) variable importance measure (VIM) determined that subsurface parent material was a key driver for NOM quantity and quality.</w:t>
      </w:r>
    </w:p>
    <w:p>
      <w:pPr>
        <w:pStyle w:val="BodyText"/>
      </w:pPr>
      <w:r>
        <w:t xml:space="preserve"> </w:t>
      </w:r>
    </w:p>
    <w:p>
      <w:pPr>
        <w:pStyle w:val="BodyText"/>
      </w:pPr>
      <w:r>
        <w:t xml:space="preserve">Results showed spatial patterns that were predicted by the river continuum concept (RCC), including higher levels of NOM in headwaters with attenuation in quantity along stream reaches. Longitudinal reduction in DOC (decreasing concentrations from upstream to downstream) were observed across the GVWSA sampling sites.</w:t>
      </w:r>
    </w:p>
    <w:p>
      <w:pPr>
        <w:pStyle w:val="BodyText"/>
      </w:pPr>
      <w:r>
        <w:t xml:space="preserve"> </w:t>
      </w:r>
    </w:p>
    <w:p>
      <w:pPr>
        <w:pStyle w:val="BodyText"/>
      </w:pPr>
      <w:r>
        <w:t xml:space="preserve">In the Leech WSA, sub-basins draining the west had the highest aqueous NOM quantity with the greatest aromaticity, reactivity and molecular size. Lower levels of NOM with smaller, less aromatic and less reactive quality were found in basins draining from the east of the Leech WSA. As anticipated by the river continuum concept and the pulse-shunt concept</w:t>
      </w:r>
      <w:r>
        <w:t xml:space="preserve"> </w:t>
      </w:r>
      <w:r>
        <w:t xml:space="preserve">(Vannote et al.</w:t>
      </w:r>
      <w:r>
        <w:t xml:space="preserve"> </w:t>
      </w:r>
      <w:hyperlink w:anchor="ref-Vannote1980">
        <w:r>
          <w:rPr>
            <w:rStyle w:val="Hyperlink"/>
          </w:rPr>
          <w:t xml:space="preserve">1980</w:t>
        </w:r>
      </w:hyperlink>
      <w:r>
        <w:t xml:space="preserve">; Raymond et al.</w:t>
      </w:r>
      <w:r>
        <w:t xml:space="preserve"> </w:t>
      </w:r>
      <w:hyperlink w:anchor="ref-Raymond2016">
        <w:r>
          <w:rPr>
            <w:rStyle w:val="Hyperlink"/>
          </w:rPr>
          <w:t xml:space="preserve">2016</w:t>
        </w:r>
      </w:hyperlink>
      <w:r>
        <w:t xml:space="preserve">)</w:t>
      </w:r>
      <w:r>
        <w:t xml:space="preserve">, spatial variation in Leech WSA fluvial NOM was attributed to hydrological processes and watershed characteristics. The most important watershed characteristics for NOM dynamics in the Leech WSA were geomorphic parent material. Stream stage was the key hydrologic condition for predicting NOM quantity, and antecedent wetness was key for predicting NOM quality.</w:t>
      </w:r>
    </w:p>
    <w:p>
      <w:pPr>
        <w:pStyle w:val="Heading3"/>
      </w:pPr>
      <w:bookmarkStart w:id="136" w:name="X799d22bff5b638a1472ed01d83ae7180422f6e5"/>
      <w:r>
        <w:t xml:space="preserve">Discussion and implications for drinking water supply and watershed management</w:t>
      </w:r>
      <w:bookmarkEnd w:id="136"/>
    </w:p>
    <w:p>
      <w:pPr>
        <w:pStyle w:val="Heading4"/>
      </w:pPr>
      <w:bookmarkStart w:id="137" w:name="drivers-for-variation"/>
      <w:r>
        <w:t xml:space="preserve">Drivers for variation</w:t>
      </w:r>
      <w:bookmarkEnd w:id="137"/>
    </w:p>
    <w:p>
      <w:pPr>
        <w:pStyle w:val="FirstParagraph"/>
      </w:pPr>
      <w:r>
        <w:t xml:space="preserve">Data from six sub-basin stream monitoring sites in the Leech WSA were used to assess sampling conditions and watershed characteristic variable importance for predicting NOM concentration and character.</w:t>
      </w:r>
    </w:p>
    <w:p>
      <w:pPr>
        <w:pStyle w:val="Compact"/>
        <w:numPr>
          <w:numId w:val="1007"/>
          <w:ilvl w:val="0"/>
        </w:numPr>
      </w:pPr>
      <w:r>
        <w:t xml:space="preserve">Aqueous NOM dynamics were largely driven by warm and wet conditions across the Leech WSA.</w:t>
      </w:r>
    </w:p>
    <w:p>
      <w:pPr>
        <w:pStyle w:val="Compact"/>
        <w:numPr>
          <w:numId w:val="1007"/>
          <w:ilvl w:val="0"/>
        </w:numPr>
      </w:pPr>
      <w:r>
        <w:t xml:space="preserve">wetness connecting</w:t>
      </w:r>
    </w:p>
    <w:p>
      <w:pPr>
        <w:pStyle w:val="Compact"/>
        <w:numPr>
          <w:numId w:val="1007"/>
          <w:ilvl w:val="0"/>
        </w:numPr>
      </w:pPr>
      <w:r>
        <w:t xml:space="preserve">Watershed characteristics, such as sub-basin parent materials and forest structure (age and logging history) are likely responsible for some spatial variation in stream water quality. In conjunction with physical characteristics of the watershed, hydrologic conditions are primarily responsible for temporal variations observeds in stream water quality.</w:t>
      </w:r>
    </w:p>
    <w:p>
      <w:pPr>
        <w:pStyle w:val="Compact"/>
        <w:numPr>
          <w:numId w:val="1007"/>
          <w:ilvl w:val="0"/>
        </w:numPr>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Compact"/>
        <w:numPr>
          <w:numId w:val="1007"/>
          <w:ilvl w:val="0"/>
        </w:numPr>
      </w:pPr>
      <w:r>
        <w:t xml:space="preserve">this indicates that greater saturation, which may be indicative of the connectivity between streams and the terrestrial environment, was more important than precipitation inputs in general.</w:t>
      </w:r>
    </w:p>
    <w:p>
      <w:pPr>
        <w:pStyle w:val="FirstParagraph"/>
      </w:pPr>
      <w:r>
        <w:t xml:space="preserve">… It appeared that when streams were near 75% of their maximum stage (therefore, approximately 0.75 of peak flow) humic source pools reached maximum connectivity with the streams… this could be explained by…</w:t>
      </w:r>
      <w:r>
        <w:t xml:space="preserve"> </w:t>
      </w:r>
      <w:r>
        <w:t xml:space="preserve">* the apparent stage threshold for peak DOC (~0.75 of max sampling stage) suggests a point at which allochthonous (humic) NOM supply reached maximum connectivity with the streams. This threshold could also indicate a point at with the event hydrograph was separated from soil water contributions and throughflow to overland flow and throughfall</w:t>
      </w:r>
      <w:r>
        <w:t xml:space="preserve"> </w:t>
      </w:r>
      <w:r>
        <w:t xml:space="preserve">(Penna and Meerveld</w:t>
      </w:r>
      <w:r>
        <w:t xml:space="preserve"> </w:t>
      </w:r>
      <w:hyperlink w:anchor="ref-Penna2019">
        <w:r>
          <w:rPr>
            <w:rStyle w:val="Hyperlink"/>
          </w:rPr>
          <w:t xml:space="preserve">2019</w:t>
        </w:r>
      </w:hyperlink>
      <w:r>
        <w:t xml:space="preserve">)</w:t>
      </w:r>
      <w:r>
        <w:t xml:space="preserve">.</w:t>
      </w:r>
    </w:p>
    <w:p>
      <w:pPr>
        <w:pStyle w:val="BodyText"/>
      </w:pPr>
      <w:r>
        <w:t xml:space="preserve">, physical impoundments, organic matter inputs and sources, mass transport, solar inputs, and processing by aquatic invertebrates and microbes</w:t>
      </w:r>
      <w:r>
        <w:t xml:space="preserve"> </w:t>
      </w:r>
      <w:r>
        <w:t xml:space="preserve">(Stanley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8"/>
          <w:ilvl w:val="0"/>
        </w:numPr>
      </w:pPr>
      <w:r>
        <w:t xml:space="preserve">The NOM quality changes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pPr>
        <w:pStyle w:val="FirstParagraph"/>
      </w:pPr>
      <w:r>
        <w:t xml:space="preserve">Research Question 3. What are the implications for watershed management and future drinking water supply?</w:t>
      </w:r>
    </w:p>
    <w:p>
      <w:pPr>
        <w:pStyle w:val="BodyText"/>
      </w:pPr>
      <w:r>
        <w:t xml:space="preserve">–&gt; Provide context of how results can be used to inform watershed management planning for wildfire reduction strategies and design of continued water quality monitoring for future inter-basin transfers.</w:t>
      </w:r>
    </w:p>
    <w:p>
      <w:pPr>
        <w:pStyle w:val="Compact"/>
        <w:numPr>
          <w:numId w:val="1009"/>
          <w:ilvl w:val="0"/>
        </w:numPr>
      </w:pPr>
      <w:r>
        <w:t xml:space="preserve">Although DOC exceeded source water guidelines for TOC (4 mg/L), … RESERVOIR EFFECTS</w:t>
      </w:r>
    </w:p>
    <w:p>
      <w:pPr>
        <w:pStyle w:val="Compact"/>
        <w:numPr>
          <w:numId w:val="1009"/>
          <w:ilvl w:val="0"/>
        </w:numPr>
      </w:pPr>
      <w:r>
        <w:t xml:space="preserve">establishing connectivity among nested catchments as a baseline for experimental treatments (future)</w:t>
      </w:r>
    </w:p>
    <w:p>
      <w:pPr>
        <w:pStyle w:val="Compact"/>
        <w:numPr>
          <w:numId w:val="1009"/>
          <w:ilvl w:val="0"/>
        </w:numPr>
      </w:pPr>
      <w:r>
        <w:t xml:space="preserve">conflicting objectives and competing values (Peter Duinker’s work)</w:t>
      </w:r>
    </w:p>
    <w:p>
      <w:pPr>
        <w:pStyle w:val="Compact"/>
        <w:numPr>
          <w:numId w:val="1010"/>
          <w:ilvl w:val="1"/>
        </w:numPr>
      </w:pPr>
      <w:r>
        <w:t xml:space="preserve">managing temperate forests for timber removes carbon pools, managing for protection may increase the carbon, thus protection does not necessarily improve water quality.</w:t>
      </w:r>
    </w:p>
    <w:p>
      <w:pPr>
        <w:pStyle w:val="Compact"/>
        <w:numPr>
          <w:numId w:val="1010"/>
          <w:ilvl w:val="1"/>
        </w:numPr>
      </w:pPr>
      <w:r>
        <w:t xml:space="preserve">timber / carbon sequestration / water / biodiversity</w:t>
      </w:r>
    </w:p>
    <w:p>
      <w:pPr>
        <w:pStyle w:val="Compact"/>
        <w:numPr>
          <w:numId w:val="1009"/>
          <w:ilvl w:val="0"/>
        </w:numPr>
      </w:pPr>
      <w:r>
        <w:t xml:space="preserve">source water quality in rivers is unlikely to reflect the water at the intake tower</w:t>
      </w:r>
    </w:p>
    <w:p>
      <w:pPr>
        <w:pStyle w:val="Compact"/>
        <w:numPr>
          <w:numId w:val="1011"/>
          <w:ilvl w:val="1"/>
        </w:numPr>
      </w:pPr>
      <w:r>
        <w:t xml:space="preserve">reservoir residence times</w:t>
      </w:r>
    </w:p>
    <w:p>
      <w:pPr>
        <w:pStyle w:val="Compact"/>
        <w:numPr>
          <w:numId w:val="1011"/>
          <w:ilvl w:val="1"/>
        </w:numPr>
      </w:pPr>
      <w:r>
        <w:t xml:space="preserve">photodegradation</w:t>
      </w:r>
    </w:p>
    <w:p>
      <w:pPr>
        <w:pStyle w:val="Compact"/>
        <w:numPr>
          <w:numId w:val="1011"/>
          <w:ilvl w:val="1"/>
        </w:numPr>
      </w:pPr>
      <w:r>
        <w:t xml:space="preserve">physiochemcial reactions and changes</w:t>
      </w:r>
    </w:p>
    <w:p>
      <w:pPr>
        <w:pStyle w:val="Compact"/>
        <w:numPr>
          <w:numId w:val="1011"/>
          <w:ilvl w:val="1"/>
        </w:numPr>
      </w:pPr>
      <w:r>
        <w:t xml:space="preserve">biodegradation // transformation // bioproduction of NOM</w:t>
      </w:r>
    </w:p>
    <w:p>
      <w:pPr>
        <w:pStyle w:val="Compact"/>
        <w:numPr>
          <w:numId w:val="1011"/>
          <w:ilvl w:val="1"/>
        </w:numPr>
      </w:pPr>
      <w:r>
        <w:t xml:space="preserve">the rivers introduce new material and new conditions (e.g. different temperatures, dissolved oxygen, carbonate for buffering or organic acids altering pH, new microbiota) the</w:t>
      </w:r>
    </w:p>
    <w:p>
      <w:pPr>
        <w:pStyle w:val="Compact"/>
        <w:numPr>
          <w:numId w:val="1011"/>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1"/>
          <w:ilvl w:val="1"/>
        </w:numPr>
      </w:pPr>
      <w:r>
        <w:t xml:space="preserve">UV degradation is likely in lakes</w:t>
      </w:r>
    </w:p>
    <w:p>
      <w:pPr>
        <w:pStyle w:val="Compact"/>
        <w:numPr>
          <w:numId w:val="1011"/>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pPr>
        <w:pStyle w:val="Heading3"/>
      </w:pPr>
      <w:bookmarkStart w:id="138" w:name="concluding-remarks"/>
      <w:r>
        <w:t xml:space="preserve">Concluding remarks</w:t>
      </w:r>
      <w:bookmarkEnd w:id="138"/>
    </w:p>
    <w:p>
      <w:pPr>
        <w:pStyle w:val="FirstParagraph"/>
      </w:pPr>
      <w:r>
        <w:t xml:space="preserve">Across the Leech Water Supply Area (LWSA), the timing of changes in temperature, river response and DOC concentrations and character were synchronized in the five nested catchments and Leech River Tunnel site (future point of diversion, or mouth of the WSA), however the mean values and magnitude of these changes differed between sites.</w:t>
      </w:r>
    </w:p>
    <w:p>
      <w:pPr>
        <w:numPr>
          <w:numId w:val="1012"/>
          <w:ilvl w:val="0"/>
        </w:numPr>
      </w:pPr>
      <w:r>
        <w:t xml:space="preserve">Across the LWSA, was the variance in DOC greater within each site or among all sites?</w:t>
      </w:r>
    </w:p>
    <w:p>
      <w:pPr>
        <w:numPr>
          <w:numId w:val="1012"/>
          <w:ilvl w:val="0"/>
        </w:numPr>
      </w:pPr>
      <w:r>
        <w:t xml:space="preserve">Was the variance in DOC greater at the watershed outlet than the variance in each subbasin?</w:t>
      </w:r>
    </w:p>
    <w:p>
      <w:pPr>
        <w:pStyle w:val="Heading1"/>
      </w:pPr>
      <w:bookmarkStart w:id="139" w:name="references"/>
      <w:r>
        <w:t xml:space="preserve">References</w:t>
      </w:r>
      <w:bookmarkEnd w:id="139"/>
    </w:p>
    <w:p>
      <w:pPr>
        <w:pStyle w:val="Heading1"/>
      </w:pPr>
      <w:bookmarkStart w:id="140" w:name="appendices"/>
      <w:r>
        <w:t xml:space="preserve">Appendices</w:t>
      </w:r>
      <w:bookmarkEnd w:id="140"/>
    </w:p>
    <w:p>
      <w:pPr>
        <w:pStyle w:val="Heading7"/>
      </w:pPr>
      <w:bookmarkStart w:id="141" w:name="technology-summary"/>
      <w:r>
        <w:t xml:space="preserve">Technology summary</w:t>
      </w:r>
      <w:bookmarkEnd w:id="141"/>
    </w:p>
    <w:p>
      <w:pPr>
        <w:pStyle w:val="FirstParagraph"/>
      </w:pPr>
      <w:r>
        <w:t xml:space="preserve">Digital equipment used in this thesis are summarized in Table</w:t>
      </w:r>
      <w:r>
        <w:t xml:space="preserve"> </w:t>
      </w:r>
      <w:r>
        <w:t xml:space="preserve">19</w:t>
      </w:r>
      <w:r>
        <w:t xml:space="preserve">.</w:t>
      </w:r>
    </w:p>
    <w:p>
      <w:pPr>
        <w:pStyle w:val="BodyText"/>
      </w:pPr>
      <w:r>
        <w:t xml:space="preserve"> </w:t>
      </w:r>
    </w:p>
    <w:p>
      <w:pPr>
        <w:pStyle w:val="TableCaption"/>
      </w:pPr>
      <w:r>
        <w:t xml:space="preserve">Table 19: Summary of hardware and sofware used in this thesis project</w:t>
      </w:r>
    </w:p>
    <w:tbl>
      <w:tblPr>
        <w:tblStyle w:val="Table"/>
        <w:tblW w:type="pct" w:w="5000.0"/>
        <w:tblLook w:firstRow="1"/>
        <w:tblCaption w:val="Table 19: Summary of hardware and sofware used in this thesis project"/>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42" w:name="example-calculations"/>
      <w:r>
        <w:t xml:space="preserve">Example calculations</w:t>
      </w:r>
      <w:bookmarkEnd w:id="142"/>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FirstParagraph"/>
      </w:pPr>
      <w:r>
        <w:t xml:space="preserve"> </w:t>
      </w:r>
    </w:p>
    <w:p>
      <w:pPr>
        <w:pStyle w:val="Heading7"/>
      </w:pPr>
      <w:bookmarkStart w:id="143" w:name="Xe94dc613e79104e648a7e62ba8d389c33fd5369"/>
      <w:r>
        <w:t xml:space="preserve">NSERC forWater Network &amp; the Capital Regional District</w:t>
      </w:r>
      <w:bookmarkEnd w:id="143"/>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44" w:name="X98dc39d856ad51b9fee1476a54ede95168b6c62"/>
      <w:r>
        <w:t xml:space="preserve">Greater Victoria Regional Water Supply System, CRD</w:t>
      </w:r>
      <w:bookmarkEnd w:id="144"/>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45" w:name="Xcf21184d8ccce3de636021e865985ac80b4f9f9"/>
      <w:r>
        <w:t xml:space="preserve">Leech water supply area monitoring sites: details and observations</w:t>
      </w:r>
      <w:bookmarkEnd w:id="145"/>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6" w:name="weeks-creek-site-1"/>
      <w:r>
        <w:t xml:space="preserve">Weeks Creek (site 1)</w:t>
      </w:r>
      <w:bookmarkEnd w:id="146"/>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7" w:name="chris-creek-site-2"/>
      <w:r>
        <w:t xml:space="preserve">Chris Creek (site 2)</w:t>
      </w:r>
      <w:bookmarkEnd w:id="147"/>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8" w:name="leech-head-site-3"/>
      <w:r>
        <w:t xml:space="preserve">Leech Head (site 3)</w:t>
      </w:r>
      <w:bookmarkEnd w:id="148"/>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9" w:name="cragg-creek-site-4"/>
      <w:r>
        <w:t xml:space="preserve">Cragg Creek (site 4)</w:t>
      </w:r>
      <w:bookmarkEnd w:id="149"/>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BodyText"/>
      </w:pPr>
      <w:r>
        <w:t xml:space="preserve"> </w:t>
      </w:r>
    </w:p>
    <w:p>
      <w:pPr>
        <w:pStyle w:val="CaptionedFigure"/>
      </w:pPr>
      <w:r>
        <w:drawing>
          <wp:inline>
            <wp:extent cx="3642637" cy="4337581"/>
            <wp:effectExtent b="0" l="0" r="0" t="0"/>
            <wp:docPr descr="Figure 27: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50"/>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Draparnaldia species of green algae (nic-named</w:t>
      </w:r>
      <w:r>
        <w:t xml:space="preserve"> </w:t>
      </w:r>
      <w:r>
        <w:t xml:space="preserve">‘</w:t>
      </w:r>
      <w:r>
        <w:t xml:space="preserve">Christmas Tree</w:t>
      </w:r>
      <w:r>
        <w:t xml:space="preserve">’</w:t>
      </w:r>
      <w:r>
        <w:t xml:space="preserve">) identified in a fall bloom at Cragg Creek (site 4) November 2019</w:t>
      </w:r>
    </w:p>
    <w:p>
      <w:pPr>
        <w:pStyle w:val="BodyText"/>
      </w:pPr>
      <w:r>
        <w:t xml:space="preserve"> </w:t>
      </w:r>
    </w:p>
    <w:p>
      <w:pPr>
        <w:pStyle w:val="Heading9"/>
      </w:pPr>
      <w:bookmarkStart w:id="151" w:name="west-leech-site-5"/>
      <w:r>
        <w:t xml:space="preserve">West Leech (site 5)</w:t>
      </w:r>
      <w:bookmarkEnd w:id="151"/>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pPr>
        <w:pStyle w:val="BodyText"/>
      </w:pPr>
      <w:r>
        <w:t xml:space="preserve"> </w:t>
      </w:r>
    </w:p>
    <w:p>
      <w:pPr>
        <w:pStyle w:val="Heading9"/>
      </w:pPr>
      <w:bookmarkStart w:id="152" w:name="leech-tunnel-site-6"/>
      <w:r>
        <w:t xml:space="preserve">Leech Tunnel (site 6)</w:t>
      </w:r>
      <w:bookmarkEnd w:id="152"/>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53" w:name="field-protocol"/>
      <w:r>
        <w:t xml:space="preserve">Field protocol</w:t>
      </w:r>
      <w:bookmarkEnd w:id="153"/>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54" w:name="Xc11f448e19705921da6bd385e4f5101a22852c0"/>
      <w:r>
        <w:t xml:space="preserve">Weather and Climate (Chapter 2 results extended, ancillary data)</w:t>
      </w:r>
      <w:bookmarkEnd w:id="154"/>
    </w:p>
    <w:p>
      <w:pPr>
        <w:pStyle w:val="Heading8"/>
      </w:pPr>
      <w:bookmarkStart w:id="155" w:name="climate-normals-and-weather-anomalies"/>
      <w:r>
        <w:t xml:space="preserve">Climate normals and weather anomalies</w:t>
      </w:r>
      <w:bookmarkEnd w:id="155"/>
    </w:p>
    <w:p>
      <w:pPr>
        <w:pStyle w:val="FirstParagraph"/>
      </w:pPr>
      <w:r>
        <w:t xml:space="preserve">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Crk. Res.) and northeast (Shawnigan Lake) of the GVWSA (Table</w:t>
      </w:r>
      <w:r>
        <w:t xml:space="preserve"> </w:t>
      </w:r>
      <w:r>
        <w:t xml:space="preserve">20</w:t>
      </w:r>
      <w:r>
        <w:t xml:space="preserve">).</w:t>
      </w:r>
    </w:p>
    <w:p>
      <w:pPr>
        <w:pStyle w:val="BodyText"/>
      </w:pPr>
      <w:r>
        <w:t xml:space="preserve"> </w:t>
      </w:r>
    </w:p>
    <w:p>
      <w:pPr>
        <w:pStyle w:val="TableCaption"/>
      </w:pPr>
      <w:r>
        <w:t xml:space="preserve">Table 20: Pacific Climate Impacts Consortium British Columbia weather stations used to establish weather anomalies and departures from normal for the study period from Oct. 2018 to Feb. 2020</w:t>
      </w:r>
    </w:p>
    <w:tbl>
      <w:tblPr>
        <w:tblStyle w:val="Table"/>
        <w:tblW w:type="pct" w:w="0.0"/>
        <w:tblLook w:firstRow="1"/>
        <w:tblCaption w:val="Table 20: Pacific Climate Impacts Consortium British Columbia weather stations used to establish weather anomalies and departures from normal for the study period from Oct. 2018 to Feb. 2020"/>
      </w:tblPr>
      <w:tblGrid/>
      <w:tr>
        <w:trPr>
          <w:cnfStyle w:firstRow="1"/>
        </w:trPr>
        <w:tc>
          <w:tcPr>
            <w:tcBorders>
              <w:bottom w:val="single"/>
            </w:tcBorders>
            <w:vAlign w:val="bottom"/>
          </w:tcPr>
          <w:p>
            <w:pPr>
              <w:pStyle w:val="Compact"/>
              <w:jc w:val="left"/>
            </w:pPr>
            <w:r>
              <w:t xml:space="preserve">Station_name</w:t>
            </w:r>
          </w:p>
        </w:tc>
        <w:tc>
          <w:tcPr>
            <w:tcBorders>
              <w:bottom w:val="single"/>
            </w:tcBorders>
            <w:vAlign w:val="bottom"/>
          </w:tcPr>
          <w:p>
            <w:pPr>
              <w:pStyle w:val="Compact"/>
              <w:jc w:val="right"/>
            </w:pPr>
            <w:r>
              <w:t xml:space="preserve">Elevation_asl</w:t>
            </w:r>
          </w:p>
        </w:tc>
        <w:tc>
          <w:tcPr>
            <w:tcBorders>
              <w:bottom w:val="single"/>
            </w:tcBorders>
            <w:vAlign w:val="bottom"/>
          </w:tcPr>
          <w:p>
            <w:pPr>
              <w:pStyle w:val="Compact"/>
              <w:jc w:val="right"/>
            </w:pPr>
            <w:r>
              <w:t xml:space="preserve">Latitude (°W)</w:t>
            </w:r>
          </w:p>
        </w:tc>
        <w:tc>
          <w:tcPr>
            <w:tcBorders>
              <w:bottom w:val="single"/>
            </w:tcBorders>
            <w:vAlign w:val="bottom"/>
          </w:tcPr>
          <w:p>
            <w:pPr>
              <w:pStyle w:val="Compact"/>
              <w:jc w:val="right"/>
            </w:pPr>
            <w:r>
              <w:t xml:space="preserve">Longitude (°N)</w:t>
            </w:r>
          </w:p>
        </w:tc>
      </w:tr>
      <w:tr>
        <w:tc>
          <w:p>
            <w:pPr>
              <w:pStyle w:val="Compact"/>
              <w:jc w:val="left"/>
            </w:pPr>
            <w:r>
              <w:t xml:space="preserve">Bear Ck Res.</w:t>
            </w:r>
          </w:p>
        </w:tc>
        <w:tc>
          <w:p>
            <w:pPr>
              <w:pStyle w:val="Compact"/>
              <w:jc w:val="right"/>
            </w:pPr>
            <w:r>
              <w:t xml:space="preserve">419</w:t>
            </w:r>
          </w:p>
        </w:tc>
        <w:tc>
          <w:p>
            <w:pPr>
              <w:pStyle w:val="Compact"/>
              <w:jc w:val="right"/>
            </w:pPr>
            <w:r>
              <w:t xml:space="preserve">-123.9139</w:t>
            </w:r>
          </w:p>
        </w:tc>
        <w:tc>
          <w:p>
            <w:pPr>
              <w:pStyle w:val="Compact"/>
              <w:jc w:val="right"/>
            </w:pPr>
            <w:r>
              <w:t xml:space="preserve">48.50333</w:t>
            </w:r>
          </w:p>
        </w:tc>
      </w:tr>
      <w:tr>
        <w:tc>
          <w:p>
            <w:pPr>
              <w:pStyle w:val="Compact"/>
              <w:jc w:val="left"/>
            </w:pPr>
            <w:r>
              <w:t xml:space="preserve">Shawnigan lake</w:t>
            </w:r>
          </w:p>
        </w:tc>
        <w:tc>
          <w:p>
            <w:pPr>
              <w:pStyle w:val="Compact"/>
              <w:jc w:val="right"/>
            </w:pPr>
            <w:r>
              <w:t xml:space="preserve">138</w:t>
            </w:r>
          </w:p>
        </w:tc>
        <w:tc>
          <w:p>
            <w:pPr>
              <w:pStyle w:val="Compact"/>
              <w:jc w:val="right"/>
            </w:pPr>
            <w:r>
              <w:t xml:space="preserve">-123.6767</w:t>
            </w:r>
          </w:p>
        </w:tc>
        <w:tc>
          <w:p>
            <w:pPr>
              <w:pStyle w:val="Compact"/>
              <w:jc w:val="right"/>
            </w:pPr>
            <w:r>
              <w:t xml:space="preserve">48.64722</w:t>
            </w:r>
          </w:p>
        </w:tc>
      </w:tr>
    </w:tbl>
    <w:p>
      <w:pPr>
        <w:pStyle w:val="BodyText"/>
      </w:pPr>
      <w:r>
        <w:t xml:space="preserve"> </w:t>
      </w:r>
    </w:p>
    <w:p>
      <w:pPr>
        <w:pStyle w:val="BodyText"/>
      </w:pPr>
      <w:r>
        <w:t xml:space="preserve">Based on the PCIC weather anomaly data, the study period (October 2018 through to February 2020) was 0.56 degrees warmer and 13.4% drier than normal (Table</w:t>
      </w:r>
      <w:r>
        <w:t xml:space="preserve"> </w:t>
      </w:r>
      <w:r>
        <w:t xml:space="preserve">21</w:t>
      </w:r>
      <w:r>
        <w:t xml:space="preserve">). On average, each of the sampled wet seasons were drier than normal (26% and 5%) and the dry season was 1.4% wetter than normal. Prior to the start of the project, the summer/dry-season was 38% drier than normal and 1.6°C warmer.</w:t>
      </w:r>
    </w:p>
    <w:p>
      <w:pPr>
        <w:pStyle w:val="BodyText"/>
      </w:pPr>
      <w:r>
        <w:t xml:space="preserve"> </w:t>
      </w:r>
    </w:p>
    <w:p>
      <w:pPr>
        <w:pStyle w:val="TableCaption"/>
      </w:pPr>
      <w:r>
        <w:t xml:space="preserve">Table 21: Average weather departures from climate normals from Bear Creek Reservoir and Shawnigan Lake weather stations</w:t>
      </w:r>
    </w:p>
    <w:tbl>
      <w:tblPr>
        <w:tblStyle w:val="Table"/>
        <w:tblW w:type="pct" w:w="5000.0"/>
        <w:tblLook w:firstRow="1"/>
        <w:tblCaption w:val="Table 21: Average weather departures from climate normals from Bear Creek Reservoir and Shawnigan Lake weather stations"/>
      </w:tblPr>
      <w:tblGrid>
        <w:gridCol w:w="2304"/>
        <w:gridCol w:w="1656"/>
        <w:gridCol w:w="1944"/>
        <w:gridCol w:w="2015"/>
      </w:tblGrid>
      <w:tr>
        <w:trPr>
          <w:cnfStyle w:firstRow="1"/>
        </w:trPr>
        <w:tc>
          <w:tcPr>
            <w:tcBorders>
              <w:bottom w:val="single"/>
            </w:tcBorders>
            <w:vAlign w:val="bottom"/>
          </w:tcPr>
          <w:p>
            <w:pPr>
              <w:pStyle w:val="Compact"/>
              <w:jc w:val="left"/>
            </w:pPr>
            <w:r>
              <w:t xml:space="preserve">Sampling season</w:t>
            </w:r>
          </w:p>
        </w:tc>
        <w:tc>
          <w:tcPr>
            <w:tcBorders>
              <w:bottom w:val="single"/>
            </w:tcBorders>
            <w:vAlign w:val="bottom"/>
          </w:tcPr>
          <w:p>
            <w:pPr>
              <w:pStyle w:val="Compact"/>
              <w:jc w:val="left"/>
            </w:pPr>
            <w:r>
              <w:t xml:space="preserve">Date range</w:t>
            </w:r>
          </w:p>
        </w:tc>
        <w:tc>
          <w:tcPr>
            <w:tcBorders>
              <w:bottom w:val="single"/>
            </w:tcBorders>
            <w:vAlign w:val="bottom"/>
          </w:tcPr>
          <w:p>
            <w:pPr>
              <w:pStyle w:val="Compact"/>
              <w:jc w:val="right"/>
            </w:pPr>
            <w:r>
              <w:t xml:space="preserve">Temperature departure (°C)</w:t>
            </w:r>
          </w:p>
        </w:tc>
        <w:tc>
          <w:tcPr>
            <w:tcBorders>
              <w:bottom w:val="single"/>
            </w:tcBorders>
            <w:vAlign w:val="bottom"/>
          </w:tcPr>
          <w:p>
            <w:pPr>
              <w:pStyle w:val="Compact"/>
              <w:jc w:val="right"/>
            </w:pPr>
            <w:r>
              <w:t xml:space="preserve">Precipitation departure (%)</w:t>
            </w:r>
          </w:p>
        </w:tc>
      </w:tr>
      <w:tr>
        <w:tc>
          <w:p>
            <w:pPr>
              <w:pStyle w:val="Compact"/>
              <w:jc w:val="left"/>
            </w:pPr>
            <w:r>
              <w:t xml:space="preserve">Dry period before project start</w:t>
            </w:r>
          </w:p>
        </w:tc>
        <w:tc>
          <w:p>
            <w:pPr>
              <w:pStyle w:val="Compact"/>
              <w:jc w:val="left"/>
            </w:pPr>
            <w:r>
              <w:t xml:space="preserve">June 2018 - Sept. 2018</w:t>
            </w:r>
          </w:p>
        </w:tc>
        <w:tc>
          <w:p>
            <w:pPr>
              <w:pStyle w:val="Compact"/>
              <w:jc w:val="right"/>
            </w:pPr>
            <w:r>
              <w:t xml:space="preserve">1.58</w:t>
            </w:r>
          </w:p>
        </w:tc>
        <w:tc>
          <w:p>
            <w:pPr>
              <w:pStyle w:val="Compact"/>
              <w:jc w:val="right"/>
            </w:pPr>
            <w:r>
              <w:t xml:space="preserve">-37.9</w:t>
            </w:r>
          </w:p>
        </w:tc>
      </w:tr>
      <w:tr>
        <w:tc>
          <w:p>
            <w:pPr>
              <w:pStyle w:val="Compact"/>
              <w:jc w:val="left"/>
            </w:pPr>
            <w:r>
              <w:t xml:space="preserve">2018/2019 wet season</w:t>
            </w:r>
          </w:p>
        </w:tc>
        <w:tc>
          <w:p>
            <w:pPr>
              <w:pStyle w:val="Compact"/>
              <w:jc w:val="left"/>
            </w:pPr>
            <w:r>
              <w:t xml:space="preserve">Oct. 2018 - May 2019</w:t>
            </w:r>
          </w:p>
        </w:tc>
        <w:tc>
          <w:p>
            <w:pPr>
              <w:pStyle w:val="Compact"/>
              <w:jc w:val="right"/>
            </w:pPr>
            <w:r>
              <w:t xml:space="preserve">0.48</w:t>
            </w:r>
          </w:p>
        </w:tc>
        <w:tc>
          <w:p>
            <w:pPr>
              <w:pStyle w:val="Compact"/>
              <w:jc w:val="right"/>
            </w:pPr>
            <w:r>
              <w:t xml:space="preserve">-26.2</w:t>
            </w:r>
          </w:p>
        </w:tc>
      </w:tr>
      <w:tr>
        <w:tc>
          <w:p>
            <w:pPr>
              <w:pStyle w:val="Compact"/>
              <w:jc w:val="left"/>
            </w:pPr>
            <w:r>
              <w:t xml:space="preserve">2019 dry season</w:t>
            </w:r>
          </w:p>
        </w:tc>
        <w:tc>
          <w:p>
            <w:pPr>
              <w:pStyle w:val="Compact"/>
              <w:jc w:val="left"/>
            </w:pPr>
            <w:r>
              <w:t xml:space="preserve">June 2019 - Sept. 2019</w:t>
            </w:r>
          </w:p>
        </w:tc>
        <w:tc>
          <w:p>
            <w:pPr>
              <w:pStyle w:val="Compact"/>
              <w:jc w:val="right"/>
            </w:pPr>
            <w:r>
              <w:t xml:space="preserve">0.94</w:t>
            </w:r>
          </w:p>
        </w:tc>
        <w:tc>
          <w:p>
            <w:pPr>
              <w:pStyle w:val="Compact"/>
              <w:jc w:val="right"/>
            </w:pPr>
            <w:r>
              <w:t xml:space="preserve">1.4</w:t>
            </w:r>
          </w:p>
        </w:tc>
      </w:tr>
      <w:tr>
        <w:tc>
          <w:p>
            <w:pPr>
              <w:pStyle w:val="Compact"/>
              <w:jc w:val="left"/>
            </w:pPr>
            <w:r>
              <w:t xml:space="preserve">2019/2020 wet season</w:t>
            </w:r>
          </w:p>
        </w:tc>
        <w:tc>
          <w:p>
            <w:pPr>
              <w:pStyle w:val="Compact"/>
              <w:jc w:val="left"/>
            </w:pPr>
            <w:r>
              <w:t xml:space="preserve">Oct. 2019 - Feb. 2020</w:t>
            </w:r>
          </w:p>
        </w:tc>
        <w:tc>
          <w:p>
            <w:pPr>
              <w:pStyle w:val="Compact"/>
              <w:jc w:val="right"/>
            </w:pPr>
            <w:r>
              <w:t xml:space="preserve">0.38</w:t>
            </w:r>
          </w:p>
        </w:tc>
        <w:tc>
          <w:p>
            <w:pPr>
              <w:pStyle w:val="Compact"/>
              <w:jc w:val="right"/>
            </w:pPr>
            <w:r>
              <w:t xml:space="preserve">-4.6</w:t>
            </w:r>
          </w:p>
        </w:tc>
      </w:tr>
      <w:tr>
        <w:tc>
          <w:p>
            <w:pPr>
              <w:pStyle w:val="Compact"/>
              <w:jc w:val="left"/>
            </w:pPr>
            <w:r>
              <w:t xml:space="preserve">Study period</w:t>
            </w:r>
          </w:p>
        </w:tc>
        <w:tc>
          <w:p>
            <w:pPr>
              <w:pStyle w:val="Compact"/>
              <w:jc w:val="left"/>
            </w:pPr>
            <w:r>
              <w:t xml:space="preserve">Oct. 2018 - Feb. 2020</w:t>
            </w:r>
          </w:p>
        </w:tc>
        <w:tc>
          <w:p>
            <w:pPr>
              <w:pStyle w:val="Compact"/>
              <w:jc w:val="right"/>
            </w:pPr>
            <w:r>
              <w:t xml:space="preserve">0.56</w:t>
            </w:r>
          </w:p>
        </w:tc>
        <w:tc>
          <w:p>
            <w:pPr>
              <w:pStyle w:val="Compact"/>
              <w:jc w:val="right"/>
            </w:pPr>
            <w:r>
              <w:t xml:space="preserve">-13.3</w:t>
            </w:r>
          </w:p>
        </w:tc>
      </w:tr>
    </w:tbl>
    <w:p>
      <w:pPr>
        <w:pStyle w:val="BodyText"/>
      </w:pPr>
      <w:r>
        <w:t xml:space="preserve"> </w:t>
      </w:r>
    </w:p>
    <w:p>
      <w:pPr>
        <w:pStyle w:val="BodyText"/>
      </w:pPr>
      <w:r>
        <w:t xml:space="preserve">While not all months had weather anomalies that were warmer and drier than normal, the majority of months did (Table</w:t>
      </w:r>
      <w:r>
        <w:t xml:space="preserve"> </w:t>
      </w:r>
      <w:r>
        <w:t xml:space="preserve">22</w:t>
      </w:r>
      <w:r>
        <w:t xml:space="preserve">). In the 4.5 months prior to the start of the project, it was 1.6 degrees warmer and 38 % drier than normal; the 2018 wet season (October 2018 - April 2019) was 0.5 degrees warmer and 26 % drier than normal; the 2019 dry season (May - Oct) was 0.9 degrees warmer and 1 % wetter than normal; and the 2019 wet season was 0.38 degrees warmer and 5% drier than normal, with two precipitation anomalies that departed from normal by more than 100%: Sept 2019 was 108% wetter than normal and January 2020 was 136% wetter than normal)</w:t>
      </w:r>
    </w:p>
    <w:p>
      <w:pPr>
        <w:pStyle w:val="BodyText"/>
      </w:pPr>
      <w:r>
        <w:t xml:space="preserve"> </w:t>
      </w:r>
    </w:p>
    <w:p>
      <w:pPr>
        <w:pStyle w:val="TableCaption"/>
      </w:pPr>
      <w:r>
        <w:t xml:space="preserve">Table 22: Average monthly weather anomalies from 1970 onward at Bear Creek Reservoir and Shawnigan Lake weather stations</w:t>
      </w:r>
    </w:p>
    <w:tbl>
      <w:tblPr>
        <w:tblStyle w:val="Table"/>
        <w:tblW w:type="pct" w:w="5000.0"/>
        <w:tblLook w:firstRow="1"/>
        <w:tblCaption w:val="Table 22: Average monthly weather anomalies from 1970 onward at Bear Creek Reservoir and Shawnigan Lake weather stations"/>
      </w:tblPr>
      <w:tblGrid>
        <w:gridCol w:w="416"/>
        <w:gridCol w:w="833"/>
        <w:gridCol w:w="2167"/>
        <w:gridCol w:w="2167"/>
        <w:gridCol w:w="233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Month</w:t>
            </w:r>
          </w:p>
        </w:tc>
        <w:tc>
          <w:tcPr>
            <w:tcBorders>
              <w:bottom w:val="single"/>
            </w:tcBorders>
            <w:vAlign w:val="bottom"/>
          </w:tcPr>
          <w:p>
            <w:pPr>
              <w:pStyle w:val="Compact"/>
              <w:jc w:val="right"/>
            </w:pPr>
            <w:r>
              <w:t xml:space="preserve">Min. temp. departure (°C)</w:t>
            </w:r>
          </w:p>
        </w:tc>
        <w:tc>
          <w:tcPr>
            <w:tcBorders>
              <w:bottom w:val="single"/>
            </w:tcBorders>
            <w:vAlign w:val="bottom"/>
          </w:tcPr>
          <w:p>
            <w:pPr>
              <w:pStyle w:val="Compact"/>
              <w:jc w:val="right"/>
            </w:pPr>
            <w:r>
              <w:t xml:space="preserve">Max. temp. departure (°C)</w:t>
            </w:r>
          </w:p>
        </w:tc>
        <w:tc>
          <w:tcPr>
            <w:tcBorders>
              <w:bottom w:val="single"/>
            </w:tcBorders>
            <w:vAlign w:val="bottom"/>
          </w:tcPr>
          <w:p>
            <w:pPr>
              <w:pStyle w:val="Compact"/>
              <w:jc w:val="right"/>
            </w:pPr>
            <w:r>
              <w:t xml:space="preserve">Precipitation departure (%)</w:t>
            </w:r>
          </w:p>
        </w:tc>
      </w:tr>
      <w:tr>
        <w:tc>
          <w:p>
            <w:pPr>
              <w:pStyle w:val="Compact"/>
              <w:jc w:val="right"/>
            </w:pPr>
            <w:r>
              <w:t xml:space="preserve">2018</w:t>
            </w:r>
          </w:p>
        </w:tc>
        <w:tc>
          <w:p>
            <w:pPr>
              <w:pStyle w:val="Compact"/>
              <w:jc w:val="left"/>
            </w:pPr>
            <w:r>
              <w:t xml:space="preserve">June</w:t>
            </w:r>
          </w:p>
        </w:tc>
        <w:tc>
          <w:p>
            <w:pPr>
              <w:pStyle w:val="Compact"/>
              <w:jc w:val="right"/>
            </w:pPr>
            <w:r>
              <w:t xml:space="preserve">0.53</w:t>
            </w:r>
          </w:p>
        </w:tc>
        <w:tc>
          <w:p>
            <w:pPr>
              <w:pStyle w:val="Compact"/>
              <w:jc w:val="right"/>
            </w:pPr>
            <w:r>
              <w:t xml:space="preserve">1.47</w:t>
            </w:r>
          </w:p>
        </w:tc>
        <w:tc>
          <w:p>
            <w:pPr>
              <w:pStyle w:val="Compact"/>
              <w:jc w:val="right"/>
            </w:pPr>
            <w:r>
              <w:t xml:space="preserve">-32</w:t>
            </w:r>
          </w:p>
        </w:tc>
      </w:tr>
      <w:tr>
        <w:tc>
          <w:p>
            <w:pPr>
              <w:pStyle w:val="Compact"/>
              <w:jc w:val="right"/>
            </w:pPr>
            <w:r>
              <w:t xml:space="preserve">2018</w:t>
            </w:r>
          </w:p>
        </w:tc>
        <w:tc>
          <w:p>
            <w:pPr>
              <w:pStyle w:val="Compact"/>
              <w:jc w:val="left"/>
            </w:pPr>
            <w:r>
              <w:t xml:space="preserve">July</w:t>
            </w:r>
          </w:p>
        </w:tc>
        <w:tc>
          <w:p>
            <w:pPr>
              <w:pStyle w:val="Compact"/>
              <w:jc w:val="right"/>
            </w:pPr>
            <w:r>
              <w:t xml:space="preserve">1.20</w:t>
            </w:r>
          </w:p>
        </w:tc>
        <w:tc>
          <w:p>
            <w:pPr>
              <w:pStyle w:val="Compact"/>
              <w:jc w:val="right"/>
            </w:pPr>
            <w:r>
              <w:t xml:space="preserve">4.63</w:t>
            </w:r>
          </w:p>
        </w:tc>
        <w:tc>
          <w:p>
            <w:pPr>
              <w:pStyle w:val="Compact"/>
              <w:jc w:val="right"/>
            </w:pPr>
            <w:r>
              <w:t xml:space="preserve">-95</w:t>
            </w:r>
          </w:p>
        </w:tc>
      </w:tr>
      <w:tr>
        <w:tc>
          <w:p>
            <w:pPr>
              <w:pStyle w:val="Compact"/>
              <w:jc w:val="right"/>
            </w:pPr>
            <w:r>
              <w:t xml:space="preserve">2018</w:t>
            </w:r>
          </w:p>
        </w:tc>
        <w:tc>
          <w:p>
            <w:pPr>
              <w:pStyle w:val="Compact"/>
              <w:jc w:val="left"/>
            </w:pPr>
            <w:r>
              <w:t xml:space="preserve">August</w:t>
            </w:r>
          </w:p>
        </w:tc>
        <w:tc>
          <w:p>
            <w:pPr>
              <w:pStyle w:val="Compact"/>
              <w:jc w:val="right"/>
            </w:pPr>
            <w:r>
              <w:t xml:space="preserve">1.05</w:t>
            </w:r>
          </w:p>
        </w:tc>
        <w:tc>
          <w:p>
            <w:pPr>
              <w:pStyle w:val="Compact"/>
              <w:jc w:val="right"/>
            </w:pPr>
            <w:r>
              <w:t xml:space="preserve">4.10</w:t>
            </w:r>
          </w:p>
        </w:tc>
        <w:tc>
          <w:p>
            <w:pPr>
              <w:pStyle w:val="Compact"/>
              <w:jc w:val="right"/>
            </w:pPr>
            <w:r>
              <w:t xml:space="preserve">-89</w:t>
            </w:r>
          </w:p>
        </w:tc>
      </w:tr>
      <w:tr>
        <w:tc>
          <w:p>
            <w:pPr>
              <w:pStyle w:val="Compact"/>
              <w:jc w:val="right"/>
            </w:pPr>
            <w:r>
              <w:t xml:space="preserve">2018</w:t>
            </w:r>
          </w:p>
        </w:tc>
        <w:tc>
          <w:p>
            <w:pPr>
              <w:pStyle w:val="Compact"/>
              <w:jc w:val="left"/>
            </w:pPr>
            <w:r>
              <w:t xml:space="preserve">September</w:t>
            </w:r>
          </w:p>
        </w:tc>
        <w:tc>
          <w:p>
            <w:pPr>
              <w:pStyle w:val="Compact"/>
              <w:jc w:val="right"/>
            </w:pPr>
            <w:r>
              <w:t xml:space="preserve">0.46</w:t>
            </w:r>
          </w:p>
        </w:tc>
        <w:tc>
          <w:p>
            <w:pPr>
              <w:pStyle w:val="Compact"/>
              <w:jc w:val="right"/>
            </w:pPr>
            <w:r>
              <w:t xml:space="preserve">-0.78</w:t>
            </w:r>
          </w:p>
        </w:tc>
        <w:tc>
          <w:p>
            <w:pPr>
              <w:pStyle w:val="Compact"/>
              <w:jc w:val="right"/>
            </w:pPr>
            <w:r>
              <w:t xml:space="preserve">64</w:t>
            </w:r>
          </w:p>
        </w:tc>
      </w:tr>
      <w:tr>
        <w:tc>
          <w:p>
            <w:pPr>
              <w:pStyle w:val="Compact"/>
              <w:jc w:val="right"/>
            </w:pPr>
            <w:r>
              <w:t xml:space="preserve">2018</w:t>
            </w:r>
          </w:p>
        </w:tc>
        <w:tc>
          <w:p>
            <w:pPr>
              <w:pStyle w:val="Compact"/>
              <w:jc w:val="left"/>
            </w:pPr>
            <w:r>
              <w:t xml:space="preserve">October</w:t>
            </w:r>
          </w:p>
        </w:tc>
        <w:tc>
          <w:p>
            <w:pPr>
              <w:pStyle w:val="Compact"/>
              <w:jc w:val="right"/>
            </w:pPr>
            <w:r>
              <w:t xml:space="preserve">0.22</w:t>
            </w:r>
          </w:p>
        </w:tc>
        <w:tc>
          <w:p>
            <w:pPr>
              <w:pStyle w:val="Compact"/>
              <w:jc w:val="right"/>
            </w:pPr>
            <w:r>
              <w:t xml:space="preserve">0.64</w:t>
            </w:r>
          </w:p>
        </w:tc>
        <w:tc>
          <w:p>
            <w:pPr>
              <w:pStyle w:val="Compact"/>
              <w:jc w:val="right"/>
            </w:pPr>
            <w:r>
              <w:t xml:space="preserve">-45</w:t>
            </w:r>
          </w:p>
        </w:tc>
      </w:tr>
      <w:tr>
        <w:tc>
          <w:p>
            <w:pPr>
              <w:pStyle w:val="Compact"/>
              <w:jc w:val="right"/>
            </w:pPr>
            <w:r>
              <w:t xml:space="preserve">2018</w:t>
            </w:r>
          </w:p>
        </w:tc>
        <w:tc>
          <w:p>
            <w:pPr>
              <w:pStyle w:val="Compact"/>
              <w:jc w:val="left"/>
            </w:pPr>
            <w:r>
              <w:t xml:space="preserve">November</w:t>
            </w:r>
          </w:p>
        </w:tc>
        <w:tc>
          <w:p>
            <w:pPr>
              <w:pStyle w:val="Compact"/>
              <w:jc w:val="right"/>
            </w:pPr>
            <w:r>
              <w:t xml:space="preserve">2.21</w:t>
            </w:r>
          </w:p>
        </w:tc>
        <w:tc>
          <w:p>
            <w:pPr>
              <w:pStyle w:val="Compact"/>
              <w:jc w:val="right"/>
            </w:pPr>
            <w:r>
              <w:t xml:space="preserve">1.42</w:t>
            </w:r>
          </w:p>
        </w:tc>
        <w:tc>
          <w:p>
            <w:pPr>
              <w:pStyle w:val="Compact"/>
              <w:jc w:val="right"/>
            </w:pPr>
            <w:r>
              <w:t xml:space="preserve">-16</w:t>
            </w:r>
          </w:p>
        </w:tc>
      </w:tr>
      <w:tr>
        <w:tc>
          <w:p>
            <w:pPr>
              <w:pStyle w:val="Compact"/>
              <w:jc w:val="right"/>
            </w:pPr>
            <w:r>
              <w:t xml:space="preserve">2018</w:t>
            </w:r>
          </w:p>
        </w:tc>
        <w:tc>
          <w:p>
            <w:pPr>
              <w:pStyle w:val="Compact"/>
              <w:jc w:val="left"/>
            </w:pPr>
            <w:r>
              <w:t xml:space="preserve">December</w:t>
            </w:r>
          </w:p>
        </w:tc>
        <w:tc>
          <w:p>
            <w:pPr>
              <w:pStyle w:val="Compact"/>
              <w:jc w:val="right"/>
            </w:pPr>
            <w:r>
              <w:t xml:space="preserve">1.36</w:t>
            </w:r>
          </w:p>
        </w:tc>
        <w:tc>
          <w:p>
            <w:pPr>
              <w:pStyle w:val="Compact"/>
              <w:jc w:val="right"/>
            </w:pPr>
            <w:r>
              <w:t xml:space="preserve">0.85</w:t>
            </w:r>
          </w:p>
        </w:tc>
        <w:tc>
          <w:p>
            <w:pPr>
              <w:pStyle w:val="Compact"/>
              <w:jc w:val="right"/>
            </w:pPr>
            <w:r>
              <w:t xml:space="preserve">32</w:t>
            </w:r>
          </w:p>
        </w:tc>
      </w:tr>
      <w:tr>
        <w:tc>
          <w:p>
            <w:pPr>
              <w:pStyle w:val="Compact"/>
              <w:jc w:val="right"/>
            </w:pPr>
            <w:r>
              <w:t xml:space="preserve">2019</w:t>
            </w:r>
          </w:p>
        </w:tc>
        <w:tc>
          <w:p>
            <w:pPr>
              <w:pStyle w:val="Compact"/>
              <w:jc w:val="left"/>
            </w:pPr>
            <w:r>
              <w:t xml:space="preserve">January</w:t>
            </w:r>
          </w:p>
        </w:tc>
        <w:tc>
          <w:p>
            <w:pPr>
              <w:pStyle w:val="Compact"/>
              <w:jc w:val="right"/>
            </w:pPr>
            <w:r>
              <w:t xml:space="preserve">1.86</w:t>
            </w:r>
          </w:p>
        </w:tc>
        <w:tc>
          <w:p>
            <w:pPr>
              <w:pStyle w:val="Compact"/>
              <w:jc w:val="right"/>
            </w:pPr>
            <w:r>
              <w:t xml:space="preserve">1.57</w:t>
            </w:r>
          </w:p>
        </w:tc>
        <w:tc>
          <w:p>
            <w:pPr>
              <w:pStyle w:val="Compact"/>
              <w:jc w:val="right"/>
            </w:pPr>
            <w:r>
              <w:t xml:space="preserve">19</w:t>
            </w:r>
          </w:p>
        </w:tc>
      </w:tr>
      <w:tr>
        <w:tc>
          <w:p>
            <w:pPr>
              <w:pStyle w:val="Compact"/>
              <w:jc w:val="right"/>
            </w:pPr>
            <w:r>
              <w:t xml:space="preserve">2019</w:t>
            </w:r>
          </w:p>
        </w:tc>
        <w:tc>
          <w:p>
            <w:pPr>
              <w:pStyle w:val="Compact"/>
              <w:jc w:val="left"/>
            </w:pPr>
            <w:r>
              <w:t xml:space="preserve">February</w:t>
            </w:r>
          </w:p>
        </w:tc>
        <w:tc>
          <w:p>
            <w:pPr>
              <w:pStyle w:val="Compact"/>
              <w:jc w:val="right"/>
            </w:pPr>
            <w:r>
              <w:t xml:space="preserve">-3.74</w:t>
            </w:r>
          </w:p>
        </w:tc>
        <w:tc>
          <w:p>
            <w:pPr>
              <w:pStyle w:val="Compact"/>
              <w:jc w:val="right"/>
            </w:pPr>
            <w:r>
              <w:t xml:space="preserve">-4.87</w:t>
            </w:r>
          </w:p>
        </w:tc>
        <w:tc>
          <w:p>
            <w:pPr>
              <w:pStyle w:val="Compact"/>
              <w:jc w:val="right"/>
            </w:pPr>
            <w:r>
              <w:t xml:space="preserve">-51</w:t>
            </w:r>
          </w:p>
        </w:tc>
      </w:tr>
      <w:tr>
        <w:tc>
          <w:p>
            <w:pPr>
              <w:pStyle w:val="Compact"/>
              <w:jc w:val="right"/>
            </w:pPr>
            <w:r>
              <w:t xml:space="preserve">2019</w:t>
            </w:r>
          </w:p>
        </w:tc>
        <w:tc>
          <w:p>
            <w:pPr>
              <w:pStyle w:val="Compact"/>
              <w:jc w:val="left"/>
            </w:pPr>
            <w:r>
              <w:t xml:space="preserve">March</w:t>
            </w:r>
          </w:p>
        </w:tc>
        <w:tc>
          <w:p>
            <w:pPr>
              <w:pStyle w:val="Compact"/>
              <w:jc w:val="right"/>
            </w:pPr>
            <w:r>
              <w:t xml:space="preserve">-2.59</w:t>
            </w:r>
          </w:p>
        </w:tc>
        <w:tc>
          <w:p>
            <w:pPr>
              <w:pStyle w:val="Compact"/>
              <w:jc w:val="right"/>
            </w:pPr>
            <w:r>
              <w:t xml:space="preserve">1.13</w:t>
            </w:r>
          </w:p>
        </w:tc>
        <w:tc>
          <w:p>
            <w:pPr>
              <w:pStyle w:val="Compact"/>
              <w:jc w:val="right"/>
            </w:pPr>
            <w:r>
              <w:t xml:space="preserve">-86</w:t>
            </w:r>
          </w:p>
        </w:tc>
      </w:tr>
      <w:tr>
        <w:tc>
          <w:p>
            <w:pPr>
              <w:pStyle w:val="Compact"/>
              <w:jc w:val="right"/>
            </w:pPr>
            <w:r>
              <w:t xml:space="preserve">2019</w:t>
            </w:r>
          </w:p>
        </w:tc>
        <w:tc>
          <w:p>
            <w:pPr>
              <w:pStyle w:val="Compact"/>
              <w:jc w:val="left"/>
            </w:pPr>
            <w:r>
              <w:t xml:space="preserve">April</w:t>
            </w:r>
          </w:p>
        </w:tc>
        <w:tc>
          <w:p>
            <w:pPr>
              <w:pStyle w:val="Compact"/>
              <w:jc w:val="right"/>
            </w:pPr>
            <w:r>
              <w:t xml:space="preserve">1.06</w:t>
            </w:r>
          </w:p>
        </w:tc>
        <w:tc>
          <w:p>
            <w:pPr>
              <w:pStyle w:val="Compact"/>
              <w:jc w:val="right"/>
            </w:pPr>
            <w:r>
              <w:t xml:space="preserve">0.50</w:t>
            </w:r>
          </w:p>
        </w:tc>
        <w:tc>
          <w:p>
            <w:pPr>
              <w:pStyle w:val="Compact"/>
              <w:jc w:val="right"/>
            </w:pPr>
            <w:r>
              <w:t xml:space="preserve">5</w:t>
            </w:r>
          </w:p>
        </w:tc>
      </w:tr>
      <w:tr>
        <w:tc>
          <w:p>
            <w:pPr>
              <w:pStyle w:val="Compact"/>
              <w:jc w:val="right"/>
            </w:pPr>
            <w:r>
              <w:t xml:space="preserve">2019</w:t>
            </w:r>
          </w:p>
        </w:tc>
        <w:tc>
          <w:p>
            <w:pPr>
              <w:pStyle w:val="Compact"/>
              <w:jc w:val="left"/>
            </w:pPr>
            <w:r>
              <w:t xml:space="preserve">May</w:t>
            </w:r>
          </w:p>
        </w:tc>
        <w:tc>
          <w:p>
            <w:pPr>
              <w:pStyle w:val="Compact"/>
              <w:jc w:val="right"/>
            </w:pPr>
            <w:r>
              <w:t xml:space="preserve">2.12</w:t>
            </w:r>
          </w:p>
        </w:tc>
        <w:tc>
          <w:p>
            <w:pPr>
              <w:pStyle w:val="Compact"/>
              <w:jc w:val="right"/>
            </w:pPr>
            <w:r>
              <w:t xml:space="preserve">3.90</w:t>
            </w:r>
          </w:p>
        </w:tc>
        <w:tc>
          <w:p>
            <w:pPr>
              <w:pStyle w:val="Compact"/>
              <w:jc w:val="right"/>
            </w:pPr>
            <w:r>
              <w:t xml:space="preserve">-69</w:t>
            </w:r>
          </w:p>
        </w:tc>
      </w:tr>
      <w:tr>
        <w:tc>
          <w:p>
            <w:pPr>
              <w:pStyle w:val="Compact"/>
              <w:jc w:val="right"/>
            </w:pPr>
            <w:r>
              <w:t xml:space="preserve">2019</w:t>
            </w:r>
          </w:p>
        </w:tc>
        <w:tc>
          <w:p>
            <w:pPr>
              <w:pStyle w:val="Compact"/>
              <w:jc w:val="left"/>
            </w:pPr>
            <w:r>
              <w:t xml:space="preserve">June</w:t>
            </w:r>
          </w:p>
        </w:tc>
        <w:tc>
          <w:p>
            <w:pPr>
              <w:pStyle w:val="Compact"/>
              <w:jc w:val="right"/>
            </w:pPr>
            <w:r>
              <w:t xml:space="preserve">0.87</w:t>
            </w:r>
          </w:p>
        </w:tc>
        <w:tc>
          <w:p>
            <w:pPr>
              <w:pStyle w:val="Compact"/>
              <w:jc w:val="right"/>
            </w:pPr>
            <w:r>
              <w:t xml:space="preserve">1.92</w:t>
            </w:r>
          </w:p>
        </w:tc>
        <w:tc>
          <w:p>
            <w:pPr>
              <w:pStyle w:val="Compact"/>
              <w:jc w:val="right"/>
            </w:pPr>
            <w:r>
              <w:t xml:space="preserve">-75</w:t>
            </w:r>
          </w:p>
        </w:tc>
      </w:tr>
      <w:tr>
        <w:tc>
          <w:p>
            <w:pPr>
              <w:pStyle w:val="Compact"/>
              <w:jc w:val="right"/>
            </w:pPr>
            <w:r>
              <w:t xml:space="preserve">2019</w:t>
            </w:r>
          </w:p>
        </w:tc>
        <w:tc>
          <w:p>
            <w:pPr>
              <w:pStyle w:val="Compact"/>
              <w:jc w:val="left"/>
            </w:pPr>
            <w:r>
              <w:t xml:space="preserve">July</w:t>
            </w:r>
          </w:p>
        </w:tc>
        <w:tc>
          <w:p>
            <w:pPr>
              <w:pStyle w:val="Compact"/>
              <w:jc w:val="right"/>
            </w:pPr>
            <w:r>
              <w:t xml:space="preserve">1.00</w:t>
            </w:r>
          </w:p>
        </w:tc>
        <w:tc>
          <w:p>
            <w:pPr>
              <w:pStyle w:val="Compact"/>
              <w:jc w:val="right"/>
            </w:pPr>
            <w:r>
              <w:t xml:space="preserve">0.06</w:t>
            </w:r>
          </w:p>
        </w:tc>
        <w:tc>
          <w:p>
            <w:pPr>
              <w:pStyle w:val="Compact"/>
              <w:jc w:val="right"/>
            </w:pPr>
            <w:r>
              <w:t xml:space="preserve">12</w:t>
            </w:r>
          </w:p>
        </w:tc>
      </w:tr>
      <w:tr>
        <w:tc>
          <w:p>
            <w:pPr>
              <w:pStyle w:val="Compact"/>
              <w:jc w:val="right"/>
            </w:pPr>
            <w:r>
              <w:t xml:space="preserve">2019</w:t>
            </w:r>
          </w:p>
        </w:tc>
        <w:tc>
          <w:p>
            <w:pPr>
              <w:pStyle w:val="Compact"/>
              <w:jc w:val="left"/>
            </w:pPr>
            <w:r>
              <w:t xml:space="preserve">August</w:t>
            </w:r>
          </w:p>
        </w:tc>
        <w:tc>
          <w:p>
            <w:pPr>
              <w:pStyle w:val="Compact"/>
              <w:jc w:val="right"/>
            </w:pPr>
            <w:r>
              <w:t xml:space="preserve">1.55</w:t>
            </w:r>
          </w:p>
        </w:tc>
        <w:tc>
          <w:p>
            <w:pPr>
              <w:pStyle w:val="Compact"/>
              <w:jc w:val="right"/>
            </w:pPr>
            <w:r>
              <w:t xml:space="preserve">1.35</w:t>
            </w:r>
          </w:p>
        </w:tc>
        <w:tc>
          <w:p>
            <w:pPr>
              <w:pStyle w:val="Compact"/>
              <w:jc w:val="right"/>
            </w:pPr>
            <w:r>
              <w:t xml:space="preserve">-40</w:t>
            </w:r>
          </w:p>
        </w:tc>
      </w:tr>
      <w:tr>
        <w:tc>
          <w:p>
            <w:pPr>
              <w:pStyle w:val="Compact"/>
              <w:jc w:val="right"/>
            </w:pPr>
            <w:r>
              <w:t xml:space="preserve">2019</w:t>
            </w:r>
          </w:p>
        </w:tc>
        <w:tc>
          <w:p>
            <w:pPr>
              <w:pStyle w:val="Compact"/>
              <w:jc w:val="left"/>
            </w:pPr>
            <w:r>
              <w:t xml:space="preserve">September</w:t>
            </w:r>
          </w:p>
        </w:tc>
        <w:tc>
          <w:p>
            <w:pPr>
              <w:pStyle w:val="Compact"/>
              <w:jc w:val="right"/>
            </w:pPr>
            <w:r>
              <w:t xml:space="preserve">2.01</w:t>
            </w:r>
          </w:p>
        </w:tc>
        <w:tc>
          <w:p>
            <w:pPr>
              <w:pStyle w:val="Compact"/>
              <w:jc w:val="right"/>
            </w:pPr>
            <w:r>
              <w:t xml:space="preserve">-1.25</w:t>
            </w:r>
          </w:p>
        </w:tc>
        <w:tc>
          <w:p>
            <w:pPr>
              <w:pStyle w:val="Compact"/>
              <w:jc w:val="right"/>
            </w:pPr>
            <w:r>
              <w:t xml:space="preserve">108</w:t>
            </w:r>
          </w:p>
        </w:tc>
      </w:tr>
      <w:tr>
        <w:tc>
          <w:p>
            <w:pPr>
              <w:pStyle w:val="Compact"/>
              <w:jc w:val="right"/>
            </w:pPr>
            <w:r>
              <w:t xml:space="preserve">2019</w:t>
            </w:r>
          </w:p>
        </w:tc>
        <w:tc>
          <w:p>
            <w:pPr>
              <w:pStyle w:val="Compact"/>
              <w:jc w:val="left"/>
            </w:pPr>
            <w:r>
              <w:t xml:space="preserve">October</w:t>
            </w:r>
          </w:p>
        </w:tc>
        <w:tc>
          <w:p>
            <w:pPr>
              <w:pStyle w:val="Compact"/>
              <w:jc w:val="right"/>
            </w:pPr>
            <w:r>
              <w:t xml:space="preserve">-1.17</w:t>
            </w:r>
          </w:p>
        </w:tc>
        <w:tc>
          <w:p>
            <w:pPr>
              <w:pStyle w:val="Compact"/>
              <w:jc w:val="right"/>
            </w:pPr>
            <w:r>
              <w:t xml:space="preserve">-0.91</w:t>
            </w:r>
          </w:p>
        </w:tc>
        <w:tc>
          <w:p>
            <w:pPr>
              <w:pStyle w:val="Compact"/>
              <w:jc w:val="right"/>
            </w:pPr>
            <w:r>
              <w:t xml:space="preserve">-18</w:t>
            </w:r>
          </w:p>
        </w:tc>
      </w:tr>
      <w:tr>
        <w:tc>
          <w:p>
            <w:pPr>
              <w:pStyle w:val="Compact"/>
              <w:jc w:val="right"/>
            </w:pPr>
            <w:r>
              <w:t xml:space="preserve">2019</w:t>
            </w:r>
          </w:p>
        </w:tc>
        <w:tc>
          <w:p>
            <w:pPr>
              <w:pStyle w:val="Compact"/>
              <w:jc w:val="left"/>
            </w:pPr>
            <w:r>
              <w:t xml:space="preserve">November</w:t>
            </w:r>
          </w:p>
        </w:tc>
        <w:tc>
          <w:p>
            <w:pPr>
              <w:pStyle w:val="Compact"/>
              <w:jc w:val="right"/>
            </w:pPr>
            <w:r>
              <w:t xml:space="preserve">0.05</w:t>
            </w:r>
          </w:p>
        </w:tc>
        <w:tc>
          <w:p>
            <w:pPr>
              <w:pStyle w:val="Compact"/>
              <w:jc w:val="right"/>
            </w:pPr>
            <w:r>
              <w:t xml:space="preserve">1.39</w:t>
            </w:r>
          </w:p>
        </w:tc>
        <w:tc>
          <w:p>
            <w:pPr>
              <w:pStyle w:val="Compact"/>
              <w:jc w:val="right"/>
            </w:pPr>
            <w:r>
              <w:t xml:space="preserve">-65</w:t>
            </w:r>
          </w:p>
        </w:tc>
      </w:tr>
      <w:tr>
        <w:tc>
          <w:p>
            <w:pPr>
              <w:pStyle w:val="Compact"/>
              <w:jc w:val="right"/>
            </w:pPr>
            <w:r>
              <w:t xml:space="preserve">2019</w:t>
            </w:r>
          </w:p>
        </w:tc>
        <w:tc>
          <w:p>
            <w:pPr>
              <w:pStyle w:val="Compact"/>
              <w:jc w:val="left"/>
            </w:pPr>
            <w:r>
              <w:t xml:space="preserve">December</w:t>
            </w:r>
          </w:p>
        </w:tc>
        <w:tc>
          <w:p>
            <w:pPr>
              <w:pStyle w:val="Compact"/>
              <w:jc w:val="right"/>
            </w:pPr>
            <w:r>
              <w:t xml:space="preserve">2.21</w:t>
            </w:r>
          </w:p>
        </w:tc>
        <w:tc>
          <w:p>
            <w:pPr>
              <w:pStyle w:val="Compact"/>
              <w:jc w:val="right"/>
            </w:pPr>
            <w:r>
              <w:t xml:space="preserve">0.80</w:t>
            </w:r>
          </w:p>
        </w:tc>
        <w:tc>
          <w:p>
            <w:pPr>
              <w:pStyle w:val="Compact"/>
              <w:jc w:val="right"/>
            </w:pPr>
            <w:r>
              <w:t xml:space="preserve">-17</w:t>
            </w:r>
          </w:p>
        </w:tc>
      </w:tr>
      <w:tr>
        <w:tc>
          <w:p>
            <w:pPr>
              <w:pStyle w:val="Compact"/>
              <w:jc w:val="right"/>
            </w:pPr>
            <w:r>
              <w:t xml:space="preserve">2020</w:t>
            </w:r>
          </w:p>
        </w:tc>
        <w:tc>
          <w:p>
            <w:pPr>
              <w:pStyle w:val="Compact"/>
              <w:jc w:val="left"/>
            </w:pPr>
            <w:r>
              <w:t xml:space="preserve">January</w:t>
            </w:r>
          </w:p>
        </w:tc>
        <w:tc>
          <w:p>
            <w:pPr>
              <w:pStyle w:val="Compact"/>
              <w:jc w:val="right"/>
            </w:pPr>
            <w:r>
              <w:t xml:space="preserve">1.07</w:t>
            </w:r>
          </w:p>
        </w:tc>
        <w:tc>
          <w:p>
            <w:pPr>
              <w:pStyle w:val="Compact"/>
              <w:jc w:val="right"/>
            </w:pPr>
            <w:r>
              <w:t xml:space="preserve">-0.14</w:t>
            </w:r>
          </w:p>
        </w:tc>
        <w:tc>
          <w:p>
            <w:pPr>
              <w:pStyle w:val="Compact"/>
              <w:jc w:val="right"/>
            </w:pPr>
            <w:r>
              <w:t xml:space="preserve">136</w:t>
            </w:r>
          </w:p>
        </w:tc>
      </w:tr>
      <w:tr>
        <w:tc>
          <w:p>
            <w:pPr>
              <w:pStyle w:val="Compact"/>
              <w:jc w:val="right"/>
            </w:pPr>
            <w:r>
              <w:t xml:space="preserve">2020</w:t>
            </w:r>
          </w:p>
        </w:tc>
        <w:tc>
          <w:p>
            <w:pPr>
              <w:pStyle w:val="Compact"/>
              <w:jc w:val="left"/>
            </w:pPr>
            <w:r>
              <w:t xml:space="preserve">February</w:t>
            </w:r>
          </w:p>
        </w:tc>
        <w:tc>
          <w:p>
            <w:pPr>
              <w:pStyle w:val="Compact"/>
              <w:jc w:val="right"/>
            </w:pPr>
            <w:r>
              <w:t xml:space="preserve">0.36</w:t>
            </w:r>
          </w:p>
        </w:tc>
        <w:tc>
          <w:p>
            <w:pPr>
              <w:pStyle w:val="Compact"/>
              <w:jc w:val="right"/>
            </w:pPr>
            <w:r>
              <w:t xml:space="preserve">0.12</w:t>
            </w:r>
          </w:p>
        </w:tc>
        <w:tc>
          <w:p>
            <w:pPr>
              <w:pStyle w:val="Compact"/>
              <w:jc w:val="right"/>
            </w:pPr>
            <w:r>
              <w:t xml:space="preserve">-60</w:t>
            </w:r>
          </w:p>
        </w:tc>
      </w:tr>
    </w:tbl>
    <w:p>
      <w:pPr>
        <w:pStyle w:val="BodyText"/>
      </w:pPr>
      <w:r>
        <w:t xml:space="preserve"> </w:t>
      </w:r>
    </w:p>
    <w:p>
      <w:pPr>
        <w:pStyle w:val="Heading8"/>
      </w:pPr>
      <w:bookmarkStart w:id="156" w:name="fwx-stations-in-the-lwsa"/>
      <w:r>
        <w:t xml:space="preserve">FWx stations in the LWSA</w:t>
      </w:r>
      <w:bookmarkEnd w:id="156"/>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28</w:t>
      </w:r>
      <w:r>
        <w:t xml:space="preserve">, Table</w:t>
      </w:r>
      <w:r>
        <w:t xml:space="preserve"> </w:t>
      </w:r>
      <w:r>
        <w:t xml:space="preserve">23</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28: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23: Annual weather from CRD FWx stations in the Leech water supply area</w:t>
      </w:r>
    </w:p>
    <w:tbl>
      <w:tblPr>
        <w:tblStyle w:val="Table"/>
        <w:tblW w:type="pct" w:w="5000.0"/>
        <w:tblLook w:firstRow="1"/>
        <w:tblCaption w:val="Table 23: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9"/>
      </w:pPr>
      <w:bookmarkStart w:id="158" w:name="X7c6356a43fe14fad85e2bfec714ae5604410a47"/>
      <w:r>
        <w:t xml:space="preserve">Linear regression for air temperatures at Vertical Racks</w:t>
      </w:r>
      <w:bookmarkEnd w:id="158"/>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29</w:t>
      </w:r>
      <w:r>
        <w:t xml:space="preserve">).</w:t>
      </w:r>
    </w:p>
    <w:p>
      <w:pPr>
        <w:pStyle w:val="BodyText"/>
      </w:pPr>
      <w:r>
        <w:t xml:space="preserve"> </w:t>
      </w:r>
    </w:p>
    <w:p>
      <w:pPr>
        <w:pStyle w:val="CaptionedFigure"/>
      </w:pPr>
      <w:r>
        <w:drawing>
          <wp:inline>
            <wp:extent cx="5504749" cy="5504749"/>
            <wp:effectExtent b="0" l="0" r="0" t="0"/>
            <wp:docPr descr="Figure 29: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30</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0: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60"/>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Temperatures recorded in air and water on vertical racks at each research site</w:t>
      </w:r>
    </w:p>
    <w:p>
      <w:pPr>
        <w:pStyle w:val="BodyText"/>
      </w:pPr>
      <w:r>
        <w:t xml:space="preserve"> </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31</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1: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6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24</w:t>
      </w:r>
      <w:r>
        <w:t xml:space="preserve">) with no statistical difference (at 90% confidence) for Cragg Crk, West Leech and the Tunnel (sites 4, 5, 6).</w:t>
      </w:r>
    </w:p>
    <w:p>
      <w:pPr>
        <w:pStyle w:val="BodyText"/>
      </w:pPr>
      <w:r>
        <w:t xml:space="preserve"> </w:t>
      </w:r>
    </w:p>
    <w:p>
      <w:pPr>
        <w:pStyle w:val="TableCaption"/>
      </w:pPr>
      <w:r>
        <w:t xml:space="preserve">Table 24: 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4: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32</w:t>
      </w:r>
      <w:r>
        <w:t xml:space="preserve">). Table</w:t>
      </w:r>
      <w:r>
        <w:t xml:space="preserve"> </w:t>
      </w:r>
      <w:r>
        <w:t xml:space="preserve">25</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25: Summary of predicted air temperature at each site compared to mean LWSA temperature from CRD FWx stations for the same time period</w:t>
      </w:r>
    </w:p>
    <w:tbl>
      <w:tblPr>
        <w:tblStyle w:val="Table"/>
        <w:tblW w:type="pct" w:w="5000.0"/>
        <w:tblLook w:firstRow="1"/>
        <w:tblCaption w:val="Table 25: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2:  Linear regression relationships between mean daily air temperature recorded at each monitoring site compared to mean Leech 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6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t xml:space="preserve">Linear regression relationships between mean daily air temperature recorded at each monitoring site compared to mean Leech WSA air temperature recorded by Chris Creek and Martin’s Gulch fire weather stations</w:t>
      </w:r>
    </w:p>
    <w:p>
      <w:pPr>
        <w:pStyle w:val="BodyText"/>
      </w:pPr>
      <w:r>
        <w:t xml:space="preserve"> </w:t>
      </w:r>
    </w:p>
    <w:p>
      <w:pPr>
        <w:pStyle w:val="Heading7"/>
      </w:pPr>
      <w:bookmarkStart w:id="163" w:name="Xeeb2060c33e757438fb6e1a3a0b82d8b44e32b0"/>
      <w:r>
        <w:t xml:space="preserve">Additional sampling and analysis (Chapter 2 extended)</w:t>
      </w:r>
      <w:bookmarkEnd w:id="163"/>
    </w:p>
    <w:p>
      <w:pPr>
        <w:pStyle w:val="FirstParagraph"/>
      </w:pPr>
      <w:r>
        <w:t xml:space="preserve">At UBC, stream 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8"/>
      </w:pPr>
      <w:bookmarkStart w:id="164" w:name="X3c82df21c002a4855f328820b5a765237738175"/>
      <w:r>
        <w:t xml:space="preserve">Treatability: forWater coordinated treatability analyses for disinfection by-product formation potentials (DBP-FP)</w:t>
      </w:r>
      <w:bookmarkEnd w:id="164"/>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3"/>
          <w:ilvl w:val="0"/>
        </w:numPr>
      </w:pPr>
      <w:r>
        <w:t xml:space="preserve">Leech River at the future point of diversion (near Leech Tunnel inlet)</w:t>
      </w:r>
    </w:p>
    <w:p>
      <w:pPr>
        <w:pStyle w:val="Compact"/>
        <w:numPr>
          <w:numId w:val="1013"/>
          <w:ilvl w:val="0"/>
        </w:numPr>
      </w:pPr>
      <w:r>
        <w:t xml:space="preserve">Deception Reservoir, downstream from Deception Gulch (outlet of Leech Tunnel)</w:t>
      </w:r>
    </w:p>
    <w:p>
      <w:pPr>
        <w:pStyle w:val="Compact"/>
        <w:numPr>
          <w:numId w:val="1013"/>
          <w:ilvl w:val="0"/>
        </w:numPr>
      </w:pPr>
      <w:r>
        <w:t xml:space="preserve">Rithet Creek (main tributary to Sooke Reservoir)</w:t>
      </w:r>
    </w:p>
    <w:p>
      <w:pPr>
        <w:pStyle w:val="Compact"/>
        <w:numPr>
          <w:numId w:val="1013"/>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65" w:name="results-treatability-doc"/>
      <w:r>
        <w:t xml:space="preserve">Results: Treatability &amp; DOC</w:t>
      </w:r>
      <w:bookmarkEnd w:id="165"/>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SAC</w:t>
      </w:r>
      <w:r>
        <w:rPr>
          <w:vertAlign w:val="subscript"/>
        </w:rPr>
        <w:t xml:space="preserve">254</w:t>
      </w:r>
      <w:r>
        <w:t xml:space="preserve"> </w:t>
      </w:r>
      <w:r>
        <w:t xml:space="preserve">is a better indicator of NOM reactivity with respect to DBP-FPs (Table</w:t>
      </w:r>
      <w:r>
        <w:t xml:space="preserve"> </w:t>
      </w:r>
      <w:r>
        <w:t xml:space="preserve">26</w:t>
      </w:r>
      <w:r>
        <w:t xml:space="preserve">, Figure</w:t>
      </w:r>
      <w:r>
        <w:t xml:space="preserve"> </w:t>
      </w:r>
      <w:r>
        <w:t xml:space="preserve">33</w:t>
      </w:r>
      <w:r>
        <w:t xml:space="preserve">). In particular, SAC</w:t>
      </w:r>
      <w:r>
        <w:rPr>
          <w:vertAlign w:val="subscript"/>
        </w:rPr>
        <w:t xml:space="preserve">254</w:t>
      </w:r>
      <w:r>
        <w:t xml:space="preserve"> </w:t>
      </w:r>
      <w:r>
        <w:t xml:space="preserve">was well correlated with total trihalomethanes (THM, r=0.9882) including trichloromethane (TCM, r=0.9869), total haloacetic acids (HAAs, r=0.9927) including dichloroacetic acid (DCAA, r=0.9945) and trichloroacetic acid (TCAA, r=0.9900); and was only weakly correlated to bromodichloromethane (BDCM, r=0.6539). Below levels of detection (thus not shows here) were DBP-FP results for tribromomethane (TBM), dibromoacetic acid (DBAA), dibromochloromethane (DBCM), monochloroacetic acid (MCAA), monobromoacetic acid (MBAA).</w:t>
      </w:r>
    </w:p>
    <w:p>
      <w:pPr>
        <w:pStyle w:val="BodyText"/>
      </w:pPr>
      <w:r>
        <w:t xml:space="preserve"> </w:t>
      </w:r>
    </w:p>
    <w:p>
      <w:pPr>
        <w:pStyle w:val="CaptionedFigure"/>
      </w:pPr>
      <w:r>
        <w:drawing>
          <wp:inline>
            <wp:extent cx="5504749" cy="5963478"/>
            <wp:effectExtent b="0" l="0" r="0" t="0"/>
            <wp:docPr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66"/>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t xml:space="preserve">Disinfection by-product formation potentials (DBP-FPs) with dissolved organic carbon (left column), spectral absorbance coefficient at 254 nm (SAC</w:t>
      </w:r>
      <w:r>
        <w:rPr>
          <w:vertAlign w:val="subscript"/>
        </w:rPr>
        <w:t xml:space="preserve">254</w:t>
      </w:r>
      <w:r>
        <w:t xml:space="preserve">) and specific UV absorbance at 254nm (SUVA</w:t>
      </w:r>
      <w:r>
        <w:rPr>
          <w:vertAlign w:val="subscript"/>
        </w:rPr>
        <w:t xml:space="preserve">254</w:t>
      </w:r>
      <w:r>
        <w:t xml:space="preserve">). Duplicate samples collected at four sites in the Leech WSA on two occasions. DBPs include: total trihalomethanes (THM), trichloromethane (TCM), bromodichloromethane (BDCM), total haloacetic acids (HAAs), dichloroacetic acid (DCAA), trichloroacetic acid (TCAA)</w:t>
      </w:r>
    </w:p>
    <w:p>
      <w:pPr>
        <w:pStyle w:val="BodyText"/>
      </w:pPr>
      <w:r>
        <w:t xml:space="preserve"> </w:t>
      </w:r>
    </w:p>
    <w:p>
      <w:pPr>
        <w:pStyle w:val="TableCaption"/>
      </w:pPr>
      <w:r>
        <w:t xml:space="preserve">Table 26: Correlation coefficients for disinfection byproducts with spectral absorbance coefficient at 254 nm (SAC</w:t>
      </w:r>
      <w:r>
        <w:rPr>
          <w:vertAlign w:val="subscript"/>
        </w:rPr>
        <w:t xml:space="preserve">254</w:t>
      </w:r>
      <w:r>
        <w:t xml:space="preserve">), dissolved organic carbon concentration (DOC), and specific UV absorbance at 254 nm (SUVA</w:t>
      </w:r>
      <w:r>
        <w:rPr>
          <w:vertAlign w:val="subscript"/>
        </w:rPr>
        <w:t xml:space="preserve">254</w:t>
      </w:r>
      <w:r>
        <w:t xml:space="preserve">). DBP-FP values that were below detection were not included in the matrix</w:t>
      </w:r>
    </w:p>
    <w:tbl>
      <w:tblPr>
        <w:tblStyle w:val="Table"/>
        <w:tblW w:type="pct" w:w="0.0"/>
        <w:tblLook w:firstRow="1"/>
        <w:tblCaption w:val="Table 26: Correlation coefficients for disinfection byproducts with spectral absorbance coefficient at 254 nm (SAC254), dissolved organic carbon concentration (DOC), and specific UV absorbance at 254 nm (SUVA254). DBP-FP values that were below detection were not included in the matrix"/>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SAC254</w:t>
            </w:r>
          </w:p>
        </w:tc>
        <w:tc>
          <w:tcPr>
            <w:tcBorders>
              <w:bottom w:val="single"/>
            </w:tcBorders>
            <w:vAlign w:val="bottom"/>
          </w:tcPr>
          <w:p>
            <w:pPr>
              <w:pStyle w:val="Compact"/>
              <w:jc w:val="right"/>
            </w:pPr>
            <w:r>
              <w:t xml:space="preserve">DOC</w:t>
            </w:r>
          </w:p>
        </w:tc>
        <w:tc>
          <w:tcPr>
            <w:tcBorders>
              <w:bottom w:val="single"/>
            </w:tcBorders>
            <w:vAlign w:val="bottom"/>
          </w:tcPr>
          <w:p>
            <w:pPr>
              <w:pStyle w:val="Compact"/>
              <w:jc w:val="right"/>
            </w:pPr>
            <w:r>
              <w:t xml:space="preserve">SUVA254</w:t>
            </w:r>
          </w:p>
        </w:tc>
        <w:tc>
          <w:tcPr>
            <w:tcBorders>
              <w:bottom w:val="single"/>
            </w:tcBorders>
            <w:vAlign w:val="bottom"/>
          </w:tcPr>
          <w:p>
            <w:pPr>
              <w:pStyle w:val="Compact"/>
              <w:jc w:val="right"/>
            </w:pPr>
            <w:r>
              <w:t xml:space="preserve">THMs</w:t>
            </w:r>
          </w:p>
        </w:tc>
        <w:tc>
          <w:tcPr>
            <w:tcBorders>
              <w:bottom w:val="single"/>
            </w:tcBorders>
            <w:vAlign w:val="bottom"/>
          </w:tcPr>
          <w:p>
            <w:pPr>
              <w:pStyle w:val="Compact"/>
              <w:jc w:val="right"/>
            </w:pPr>
            <w:r>
              <w:t xml:space="preserve">BDCM</w:t>
            </w:r>
          </w:p>
        </w:tc>
        <w:tc>
          <w:tcPr>
            <w:tcBorders>
              <w:bottom w:val="single"/>
            </w:tcBorders>
            <w:vAlign w:val="bottom"/>
          </w:tcPr>
          <w:p>
            <w:pPr>
              <w:pStyle w:val="Compact"/>
              <w:jc w:val="right"/>
            </w:pPr>
            <w:r>
              <w:t xml:space="preserve">TCM</w:t>
            </w:r>
          </w:p>
        </w:tc>
        <w:tc>
          <w:tcPr>
            <w:tcBorders>
              <w:bottom w:val="single"/>
            </w:tcBorders>
            <w:vAlign w:val="bottom"/>
          </w:tcPr>
          <w:p>
            <w:pPr>
              <w:pStyle w:val="Compact"/>
              <w:jc w:val="right"/>
            </w:pPr>
            <w:r>
              <w:t xml:space="preserve">HAAs</w:t>
            </w:r>
          </w:p>
        </w:tc>
        <w:tc>
          <w:tcPr>
            <w:tcBorders>
              <w:bottom w:val="single"/>
            </w:tcBorders>
            <w:vAlign w:val="bottom"/>
          </w:tcPr>
          <w:p>
            <w:pPr>
              <w:pStyle w:val="Compact"/>
              <w:jc w:val="right"/>
            </w:pPr>
            <w:r>
              <w:t xml:space="preserve">DCAA</w:t>
            </w:r>
          </w:p>
        </w:tc>
        <w:tc>
          <w:tcPr>
            <w:tcBorders>
              <w:bottom w:val="single"/>
            </w:tcBorders>
            <w:vAlign w:val="bottom"/>
          </w:tcPr>
          <w:p>
            <w:pPr>
              <w:pStyle w:val="Compact"/>
              <w:jc w:val="right"/>
            </w:pPr>
            <w:r>
              <w:t xml:space="preserve">TCAA</w:t>
            </w:r>
          </w:p>
        </w:tc>
      </w:tr>
      <w:tr>
        <w:tc>
          <w:p>
            <w:pPr>
              <w:pStyle w:val="Compact"/>
              <w:jc w:val="left"/>
            </w:pPr>
            <w:r>
              <w:t xml:space="preserve">SAC254</w:t>
            </w:r>
          </w:p>
        </w:tc>
        <w:tc>
          <w:p>
            <w:pPr>
              <w:pStyle w:val="Compact"/>
              <w:jc w:val="right"/>
            </w:pPr>
            <w:r>
              <w:t xml:space="preserve">1.00000</w:t>
            </w:r>
          </w:p>
        </w:tc>
        <w:tc>
          <w:p>
            <w:pPr>
              <w:pStyle w:val="Compact"/>
              <w:jc w:val="right"/>
            </w:pPr>
            <w:r>
              <w:t xml:space="preserve">0.74485</w:t>
            </w:r>
          </w:p>
        </w:tc>
        <w:tc>
          <w:p>
            <w:pPr>
              <w:pStyle w:val="Compact"/>
              <w:jc w:val="right"/>
            </w:pPr>
            <w:r>
              <w:t xml:space="preserve">0.51273</w:t>
            </w:r>
          </w:p>
        </w:tc>
        <w:tc>
          <w:p>
            <w:pPr>
              <w:pStyle w:val="Compact"/>
              <w:jc w:val="right"/>
            </w:pPr>
            <w:r>
              <w:t xml:space="preserve">0.98817</w:t>
            </w:r>
          </w:p>
        </w:tc>
        <w:tc>
          <w:p>
            <w:pPr>
              <w:pStyle w:val="Compact"/>
              <w:jc w:val="right"/>
            </w:pPr>
            <w:r>
              <w:t xml:space="preserve">0.65387</w:t>
            </w:r>
          </w:p>
        </w:tc>
        <w:tc>
          <w:p>
            <w:pPr>
              <w:pStyle w:val="Compact"/>
              <w:jc w:val="right"/>
            </w:pPr>
            <w:r>
              <w:t xml:space="preserve">0.98694</w:t>
            </w:r>
          </w:p>
        </w:tc>
        <w:tc>
          <w:p>
            <w:pPr>
              <w:pStyle w:val="Compact"/>
              <w:jc w:val="right"/>
            </w:pPr>
            <w:r>
              <w:t xml:space="preserve">0.99270</w:t>
            </w:r>
          </w:p>
        </w:tc>
        <w:tc>
          <w:p>
            <w:pPr>
              <w:pStyle w:val="Compact"/>
              <w:jc w:val="right"/>
            </w:pPr>
            <w:r>
              <w:t xml:space="preserve">0.99446</w:t>
            </w:r>
          </w:p>
        </w:tc>
        <w:tc>
          <w:p>
            <w:pPr>
              <w:pStyle w:val="Compact"/>
              <w:jc w:val="right"/>
            </w:pPr>
            <w:r>
              <w:t xml:space="preserve">0.99000</w:t>
            </w:r>
          </w:p>
        </w:tc>
      </w:tr>
      <w:tr>
        <w:tc>
          <w:p>
            <w:pPr>
              <w:pStyle w:val="Compact"/>
              <w:jc w:val="left"/>
            </w:pPr>
            <w:r>
              <w:t xml:space="preserve">DOC</w:t>
            </w:r>
          </w:p>
        </w:tc>
        <w:tc>
          <w:p>
            <w:pPr>
              <w:pStyle w:val="Compact"/>
              <w:jc w:val="right"/>
            </w:pPr>
            <w:r>
              <w:t xml:space="preserve">0.74485</w:t>
            </w:r>
          </w:p>
        </w:tc>
        <w:tc>
          <w:p>
            <w:pPr>
              <w:pStyle w:val="Compact"/>
              <w:jc w:val="right"/>
            </w:pPr>
            <w:r>
              <w:t xml:space="preserve">1.00000</w:t>
            </w:r>
          </w:p>
        </w:tc>
        <w:tc>
          <w:p>
            <w:pPr>
              <w:pStyle w:val="Compact"/>
              <w:jc w:val="right"/>
            </w:pPr>
            <w:r>
              <w:t xml:space="preserve">-0.16925</w:t>
            </w:r>
          </w:p>
        </w:tc>
        <w:tc>
          <w:p>
            <w:pPr>
              <w:pStyle w:val="Compact"/>
              <w:jc w:val="right"/>
            </w:pPr>
            <w:r>
              <w:t xml:space="preserve">0.80285</w:t>
            </w:r>
          </w:p>
        </w:tc>
        <w:tc>
          <w:p>
            <w:pPr>
              <w:pStyle w:val="Compact"/>
              <w:jc w:val="right"/>
            </w:pPr>
            <w:r>
              <w:t xml:space="preserve">0.32781</w:t>
            </w:r>
          </w:p>
        </w:tc>
        <w:tc>
          <w:p>
            <w:pPr>
              <w:pStyle w:val="Compact"/>
              <w:jc w:val="right"/>
            </w:pPr>
            <w:r>
              <w:t xml:space="preserve">0.80575</w:t>
            </w:r>
          </w:p>
        </w:tc>
        <w:tc>
          <w:p>
            <w:pPr>
              <w:pStyle w:val="Compact"/>
              <w:jc w:val="right"/>
            </w:pPr>
            <w:r>
              <w:t xml:space="preserve">0.69292</w:t>
            </w:r>
          </w:p>
        </w:tc>
        <w:tc>
          <w:p>
            <w:pPr>
              <w:pStyle w:val="Compact"/>
              <w:jc w:val="right"/>
            </w:pPr>
            <w:r>
              <w:t xml:space="preserve">0.71389</w:t>
            </w:r>
          </w:p>
        </w:tc>
        <w:tc>
          <w:p>
            <w:pPr>
              <w:pStyle w:val="Compact"/>
              <w:jc w:val="right"/>
            </w:pPr>
            <w:r>
              <w:t xml:space="preserve">0.68315</w:t>
            </w:r>
          </w:p>
        </w:tc>
      </w:tr>
      <w:tr>
        <w:tc>
          <w:p>
            <w:pPr>
              <w:pStyle w:val="Compact"/>
              <w:jc w:val="left"/>
            </w:pPr>
            <w:r>
              <w:t xml:space="preserve">SUVA254</w:t>
            </w:r>
          </w:p>
        </w:tc>
        <w:tc>
          <w:p>
            <w:pPr>
              <w:pStyle w:val="Compact"/>
              <w:jc w:val="right"/>
            </w:pPr>
            <w:r>
              <w:t xml:space="preserve">0.51273</w:t>
            </w:r>
          </w:p>
        </w:tc>
        <w:tc>
          <w:p>
            <w:pPr>
              <w:pStyle w:val="Compact"/>
              <w:jc w:val="right"/>
            </w:pPr>
            <w:r>
              <w:t xml:space="preserve">-0.16925</w:t>
            </w:r>
          </w:p>
        </w:tc>
        <w:tc>
          <w:p>
            <w:pPr>
              <w:pStyle w:val="Compact"/>
              <w:jc w:val="right"/>
            </w:pPr>
            <w:r>
              <w:t xml:space="preserve">1.00000</w:t>
            </w:r>
          </w:p>
        </w:tc>
        <w:tc>
          <w:p>
            <w:pPr>
              <w:pStyle w:val="Compact"/>
              <w:jc w:val="right"/>
            </w:pPr>
            <w:r>
              <w:t xml:space="preserve">0.44361</w:t>
            </w:r>
          </w:p>
        </w:tc>
        <w:tc>
          <w:p>
            <w:pPr>
              <w:pStyle w:val="Compact"/>
              <w:jc w:val="right"/>
            </w:pPr>
            <w:r>
              <w:t xml:space="preserve">0.44857</w:t>
            </w:r>
          </w:p>
        </w:tc>
        <w:tc>
          <w:p>
            <w:pPr>
              <w:pStyle w:val="Compact"/>
              <w:jc w:val="right"/>
            </w:pPr>
            <w:r>
              <w:t xml:space="preserve">0.43977</w:t>
            </w:r>
          </w:p>
        </w:tc>
        <w:tc>
          <w:p>
            <w:pPr>
              <w:pStyle w:val="Compact"/>
              <w:jc w:val="right"/>
            </w:pPr>
            <w:r>
              <w:t xml:space="preserve">0.57143</w:t>
            </w:r>
          </w:p>
        </w:tc>
        <w:tc>
          <w:p>
            <w:pPr>
              <w:pStyle w:val="Compact"/>
              <w:jc w:val="right"/>
            </w:pPr>
            <w:r>
              <w:t xml:space="preserve">0.54897</w:t>
            </w:r>
          </w:p>
        </w:tc>
        <w:tc>
          <w:p>
            <w:pPr>
              <w:pStyle w:val="Compact"/>
              <w:jc w:val="right"/>
            </w:pPr>
            <w:r>
              <w:t xml:space="preserve">0.57868</w:t>
            </w:r>
          </w:p>
        </w:tc>
      </w:tr>
      <w:tr>
        <w:tc>
          <w:p>
            <w:pPr>
              <w:pStyle w:val="Compact"/>
              <w:jc w:val="left"/>
            </w:pPr>
            <w:r>
              <w:t xml:space="preserve">THMs</w:t>
            </w:r>
          </w:p>
        </w:tc>
        <w:tc>
          <w:p>
            <w:pPr>
              <w:pStyle w:val="Compact"/>
              <w:jc w:val="right"/>
            </w:pPr>
            <w:r>
              <w:t xml:space="preserve">0.98817</w:t>
            </w:r>
          </w:p>
        </w:tc>
        <w:tc>
          <w:p>
            <w:pPr>
              <w:pStyle w:val="Compact"/>
              <w:jc w:val="right"/>
            </w:pPr>
            <w:r>
              <w:t xml:space="preserve">0.80285</w:t>
            </w:r>
          </w:p>
        </w:tc>
        <w:tc>
          <w:p>
            <w:pPr>
              <w:pStyle w:val="Compact"/>
              <w:jc w:val="right"/>
            </w:pPr>
            <w:r>
              <w:t xml:space="preserve">0.44361</w:t>
            </w:r>
          </w:p>
        </w:tc>
        <w:tc>
          <w:p>
            <w:pPr>
              <w:pStyle w:val="Compact"/>
              <w:jc w:val="right"/>
            </w:pPr>
            <w:r>
              <w:t xml:space="preserve">1.00000</w:t>
            </w:r>
          </w:p>
        </w:tc>
        <w:tc>
          <w:p>
            <w:pPr>
              <w:pStyle w:val="Compact"/>
              <w:jc w:val="right"/>
            </w:pPr>
            <w:r>
              <w:t xml:space="preserve">0.58166</w:t>
            </w:r>
          </w:p>
        </w:tc>
        <w:tc>
          <w:p>
            <w:pPr>
              <w:pStyle w:val="Compact"/>
              <w:jc w:val="right"/>
            </w:pPr>
            <w:r>
              <w:t xml:space="preserve">0.99992</w:t>
            </w:r>
          </w:p>
        </w:tc>
        <w:tc>
          <w:p>
            <w:pPr>
              <w:pStyle w:val="Compact"/>
              <w:jc w:val="right"/>
            </w:pPr>
            <w:r>
              <w:t xml:space="preserve">0.97608</w:t>
            </w:r>
          </w:p>
        </w:tc>
        <w:tc>
          <w:p>
            <w:pPr>
              <w:pStyle w:val="Compact"/>
              <w:jc w:val="right"/>
            </w:pPr>
            <w:r>
              <w:t xml:space="preserve">0.98281</w:t>
            </w:r>
          </w:p>
        </w:tc>
        <w:tc>
          <w:p>
            <w:pPr>
              <w:pStyle w:val="Compact"/>
              <w:jc w:val="right"/>
            </w:pPr>
            <w:r>
              <w:t xml:space="preserve">0.97143</w:t>
            </w:r>
          </w:p>
        </w:tc>
      </w:tr>
      <w:tr>
        <w:tc>
          <w:p>
            <w:pPr>
              <w:pStyle w:val="Compact"/>
              <w:jc w:val="left"/>
            </w:pPr>
            <w:r>
              <w:t xml:space="preserve">BDCM</w:t>
            </w:r>
          </w:p>
        </w:tc>
        <w:tc>
          <w:p>
            <w:pPr>
              <w:pStyle w:val="Compact"/>
              <w:jc w:val="right"/>
            </w:pPr>
            <w:r>
              <w:t xml:space="preserve">0.65387</w:t>
            </w:r>
          </w:p>
        </w:tc>
        <w:tc>
          <w:p>
            <w:pPr>
              <w:pStyle w:val="Compact"/>
              <w:jc w:val="right"/>
            </w:pPr>
            <w:r>
              <w:t xml:space="preserve">0.32781</w:t>
            </w:r>
          </w:p>
        </w:tc>
        <w:tc>
          <w:p>
            <w:pPr>
              <w:pStyle w:val="Compact"/>
              <w:jc w:val="right"/>
            </w:pPr>
            <w:r>
              <w:t xml:space="preserve">0.44857</w:t>
            </w:r>
          </w:p>
        </w:tc>
        <w:tc>
          <w:p>
            <w:pPr>
              <w:pStyle w:val="Compact"/>
              <w:jc w:val="right"/>
            </w:pPr>
            <w:r>
              <w:t xml:space="preserve">0.58166</w:t>
            </w:r>
          </w:p>
        </w:tc>
        <w:tc>
          <w:p>
            <w:pPr>
              <w:pStyle w:val="Compact"/>
              <w:jc w:val="right"/>
            </w:pPr>
            <w:r>
              <w:t xml:space="preserve">1.00000</w:t>
            </w:r>
          </w:p>
        </w:tc>
        <w:tc>
          <w:p>
            <w:pPr>
              <w:pStyle w:val="Compact"/>
              <w:jc w:val="right"/>
            </w:pPr>
            <w:r>
              <w:t xml:space="preserve">0.57154</w:t>
            </w:r>
          </w:p>
        </w:tc>
        <w:tc>
          <w:p>
            <w:pPr>
              <w:pStyle w:val="Compact"/>
              <w:jc w:val="right"/>
            </w:pPr>
            <w:r>
              <w:t xml:space="preserve">0.59953</w:t>
            </w:r>
          </w:p>
        </w:tc>
        <w:tc>
          <w:p>
            <w:pPr>
              <w:pStyle w:val="Compact"/>
              <w:jc w:val="right"/>
            </w:pPr>
            <w:r>
              <w:t xml:space="preserve">0.61545</w:t>
            </w:r>
          </w:p>
        </w:tc>
        <w:tc>
          <w:p>
            <w:pPr>
              <w:pStyle w:val="Compact"/>
              <w:jc w:val="right"/>
            </w:pPr>
            <w:r>
              <w:t xml:space="preserve">0.59263</w:t>
            </w:r>
          </w:p>
        </w:tc>
      </w:tr>
      <w:tr>
        <w:tc>
          <w:p>
            <w:pPr>
              <w:pStyle w:val="Compact"/>
              <w:jc w:val="left"/>
            </w:pPr>
            <w:r>
              <w:t xml:space="preserve">TCM</w:t>
            </w:r>
          </w:p>
        </w:tc>
        <w:tc>
          <w:p>
            <w:pPr>
              <w:pStyle w:val="Compact"/>
              <w:jc w:val="right"/>
            </w:pPr>
            <w:r>
              <w:t xml:space="preserve">0.98694</w:t>
            </w:r>
          </w:p>
        </w:tc>
        <w:tc>
          <w:p>
            <w:pPr>
              <w:pStyle w:val="Compact"/>
              <w:jc w:val="right"/>
            </w:pPr>
            <w:r>
              <w:t xml:space="preserve">0.80575</w:t>
            </w:r>
          </w:p>
        </w:tc>
        <w:tc>
          <w:p>
            <w:pPr>
              <w:pStyle w:val="Compact"/>
              <w:jc w:val="right"/>
            </w:pPr>
            <w:r>
              <w:t xml:space="preserve">0.43977</w:t>
            </w:r>
          </w:p>
        </w:tc>
        <w:tc>
          <w:p>
            <w:pPr>
              <w:pStyle w:val="Compact"/>
              <w:jc w:val="right"/>
            </w:pPr>
            <w:r>
              <w:t xml:space="preserve">0.99992</w:t>
            </w:r>
          </w:p>
        </w:tc>
        <w:tc>
          <w:p>
            <w:pPr>
              <w:pStyle w:val="Compact"/>
              <w:jc w:val="right"/>
            </w:pPr>
            <w:r>
              <w:t xml:space="preserve">0.57154</w:t>
            </w:r>
          </w:p>
        </w:tc>
        <w:tc>
          <w:p>
            <w:pPr>
              <w:pStyle w:val="Compact"/>
              <w:jc w:val="right"/>
            </w:pPr>
            <w:r>
              <w:t xml:space="preserve">1.00000</w:t>
            </w:r>
          </w:p>
        </w:tc>
        <w:tc>
          <w:p>
            <w:pPr>
              <w:pStyle w:val="Compact"/>
              <w:jc w:val="right"/>
            </w:pPr>
            <w:r>
              <w:t xml:space="preserve">0.97547</w:t>
            </w:r>
          </w:p>
        </w:tc>
        <w:tc>
          <w:p>
            <w:pPr>
              <w:pStyle w:val="Compact"/>
              <w:jc w:val="right"/>
            </w:pPr>
            <w:r>
              <w:t xml:space="preserve">0.98198</w:t>
            </w:r>
          </w:p>
        </w:tc>
        <w:tc>
          <w:p>
            <w:pPr>
              <w:pStyle w:val="Compact"/>
              <w:jc w:val="right"/>
            </w:pPr>
            <w:r>
              <w:t xml:space="preserve">0.97090</w:t>
            </w:r>
          </w:p>
        </w:tc>
      </w:tr>
      <w:tr>
        <w:tc>
          <w:p>
            <w:pPr>
              <w:pStyle w:val="Compact"/>
              <w:jc w:val="left"/>
            </w:pPr>
            <w:r>
              <w:t xml:space="preserve">HAAs</w:t>
            </w:r>
          </w:p>
        </w:tc>
        <w:tc>
          <w:p>
            <w:pPr>
              <w:pStyle w:val="Compact"/>
              <w:jc w:val="right"/>
            </w:pPr>
            <w:r>
              <w:t xml:space="preserve">0.99270</w:t>
            </w:r>
          </w:p>
        </w:tc>
        <w:tc>
          <w:p>
            <w:pPr>
              <w:pStyle w:val="Compact"/>
              <w:jc w:val="right"/>
            </w:pPr>
            <w:r>
              <w:t xml:space="preserve">0.69292</w:t>
            </w:r>
          </w:p>
        </w:tc>
        <w:tc>
          <w:p>
            <w:pPr>
              <w:pStyle w:val="Compact"/>
              <w:jc w:val="right"/>
            </w:pPr>
            <w:r>
              <w:t xml:space="preserve">0.57143</w:t>
            </w:r>
          </w:p>
        </w:tc>
        <w:tc>
          <w:p>
            <w:pPr>
              <w:pStyle w:val="Compact"/>
              <w:jc w:val="right"/>
            </w:pPr>
            <w:r>
              <w:t xml:space="preserve">0.97608</w:t>
            </w:r>
          </w:p>
        </w:tc>
        <w:tc>
          <w:p>
            <w:pPr>
              <w:pStyle w:val="Compact"/>
              <w:jc w:val="right"/>
            </w:pPr>
            <w:r>
              <w:t xml:space="preserve">0.59953</w:t>
            </w:r>
          </w:p>
        </w:tc>
        <w:tc>
          <w:p>
            <w:pPr>
              <w:pStyle w:val="Compact"/>
              <w:jc w:val="right"/>
            </w:pPr>
            <w:r>
              <w:t xml:space="preserve">0.97547</w:t>
            </w:r>
          </w:p>
        </w:tc>
        <w:tc>
          <w:p>
            <w:pPr>
              <w:pStyle w:val="Compact"/>
              <w:jc w:val="right"/>
            </w:pPr>
            <w:r>
              <w:t xml:space="preserve">1.00000</w:t>
            </w:r>
          </w:p>
        </w:tc>
        <w:tc>
          <w:p>
            <w:pPr>
              <w:pStyle w:val="Compact"/>
              <w:jc w:val="right"/>
            </w:pPr>
            <w:r>
              <w:t xml:space="preserve">0.99642</w:t>
            </w:r>
          </w:p>
        </w:tc>
        <w:tc>
          <w:p>
            <w:pPr>
              <w:pStyle w:val="Compact"/>
              <w:jc w:val="right"/>
            </w:pPr>
            <w:r>
              <w:t xml:space="preserve">0.99937</w:t>
            </w:r>
          </w:p>
        </w:tc>
      </w:tr>
      <w:tr>
        <w:tc>
          <w:p>
            <w:pPr>
              <w:pStyle w:val="Compact"/>
              <w:jc w:val="left"/>
            </w:pPr>
            <w:r>
              <w:t xml:space="preserve">DCAA</w:t>
            </w:r>
          </w:p>
        </w:tc>
        <w:tc>
          <w:p>
            <w:pPr>
              <w:pStyle w:val="Compact"/>
              <w:jc w:val="right"/>
            </w:pPr>
            <w:r>
              <w:t xml:space="preserve">0.99446</w:t>
            </w:r>
          </w:p>
        </w:tc>
        <w:tc>
          <w:p>
            <w:pPr>
              <w:pStyle w:val="Compact"/>
              <w:jc w:val="right"/>
            </w:pPr>
            <w:r>
              <w:t xml:space="preserve">0.71389</w:t>
            </w:r>
          </w:p>
        </w:tc>
        <w:tc>
          <w:p>
            <w:pPr>
              <w:pStyle w:val="Compact"/>
              <w:jc w:val="right"/>
            </w:pPr>
            <w:r>
              <w:t xml:space="preserve">0.54897</w:t>
            </w:r>
          </w:p>
        </w:tc>
        <w:tc>
          <w:p>
            <w:pPr>
              <w:pStyle w:val="Compact"/>
              <w:jc w:val="right"/>
            </w:pPr>
            <w:r>
              <w:t xml:space="preserve">0.98281</w:t>
            </w:r>
          </w:p>
        </w:tc>
        <w:tc>
          <w:p>
            <w:pPr>
              <w:pStyle w:val="Compact"/>
              <w:jc w:val="right"/>
            </w:pPr>
            <w:r>
              <w:t xml:space="preserve">0.61545</w:t>
            </w:r>
          </w:p>
        </w:tc>
        <w:tc>
          <w:p>
            <w:pPr>
              <w:pStyle w:val="Compact"/>
              <w:jc w:val="right"/>
            </w:pPr>
            <w:r>
              <w:t xml:space="preserve">0.98198</w:t>
            </w:r>
          </w:p>
        </w:tc>
        <w:tc>
          <w:p>
            <w:pPr>
              <w:pStyle w:val="Compact"/>
              <w:jc w:val="right"/>
            </w:pPr>
            <w:r>
              <w:t xml:space="preserve">0.99642</w:t>
            </w:r>
          </w:p>
        </w:tc>
        <w:tc>
          <w:p>
            <w:pPr>
              <w:pStyle w:val="Compact"/>
              <w:jc w:val="right"/>
            </w:pPr>
            <w:r>
              <w:t xml:space="preserve">1.00000</w:t>
            </w:r>
          </w:p>
        </w:tc>
        <w:tc>
          <w:p>
            <w:pPr>
              <w:pStyle w:val="Compact"/>
              <w:jc w:val="right"/>
            </w:pPr>
            <w:r>
              <w:t xml:space="preserve">0.99294</w:t>
            </w:r>
          </w:p>
        </w:tc>
      </w:tr>
      <w:tr>
        <w:tc>
          <w:p>
            <w:pPr>
              <w:pStyle w:val="Compact"/>
              <w:jc w:val="left"/>
            </w:pPr>
            <w:r>
              <w:t xml:space="preserve">TCAA</w:t>
            </w:r>
          </w:p>
        </w:tc>
        <w:tc>
          <w:p>
            <w:pPr>
              <w:pStyle w:val="Compact"/>
              <w:jc w:val="right"/>
            </w:pPr>
            <w:r>
              <w:t xml:space="preserve">0.99000</w:t>
            </w:r>
          </w:p>
        </w:tc>
        <w:tc>
          <w:p>
            <w:pPr>
              <w:pStyle w:val="Compact"/>
              <w:jc w:val="right"/>
            </w:pPr>
            <w:r>
              <w:t xml:space="preserve">0.68315</w:t>
            </w:r>
          </w:p>
        </w:tc>
        <w:tc>
          <w:p>
            <w:pPr>
              <w:pStyle w:val="Compact"/>
              <w:jc w:val="right"/>
            </w:pPr>
            <w:r>
              <w:t xml:space="preserve">0.57868</w:t>
            </w:r>
          </w:p>
        </w:tc>
        <w:tc>
          <w:p>
            <w:pPr>
              <w:pStyle w:val="Compact"/>
              <w:jc w:val="right"/>
            </w:pPr>
            <w:r>
              <w:t xml:space="preserve">0.97143</w:t>
            </w:r>
          </w:p>
        </w:tc>
        <w:tc>
          <w:p>
            <w:pPr>
              <w:pStyle w:val="Compact"/>
              <w:jc w:val="right"/>
            </w:pPr>
            <w:r>
              <w:t xml:space="preserve">0.59263</w:t>
            </w:r>
          </w:p>
        </w:tc>
        <w:tc>
          <w:p>
            <w:pPr>
              <w:pStyle w:val="Compact"/>
              <w:jc w:val="right"/>
            </w:pPr>
            <w:r>
              <w:t xml:space="preserve">0.97090</w:t>
            </w:r>
          </w:p>
        </w:tc>
        <w:tc>
          <w:p>
            <w:pPr>
              <w:pStyle w:val="Compact"/>
              <w:jc w:val="right"/>
            </w:pPr>
            <w:r>
              <w:t xml:space="preserve">0.99937</w:t>
            </w:r>
          </w:p>
        </w:tc>
        <w:tc>
          <w:p>
            <w:pPr>
              <w:pStyle w:val="Compact"/>
              <w:jc w:val="right"/>
            </w:pPr>
            <w:r>
              <w:t xml:space="preserve">0.99294</w:t>
            </w:r>
          </w:p>
        </w:tc>
        <w:tc>
          <w:p>
            <w:pPr>
              <w:pStyle w:val="Compact"/>
              <w:jc w:val="right"/>
            </w:pPr>
            <w:r>
              <w:t xml:space="preserve">1.00000</w:t>
            </w:r>
          </w:p>
        </w:tc>
      </w:tr>
    </w:tbl>
    <w:p>
      <w:pPr>
        <w:pStyle w:val="BodyText"/>
      </w:pPr>
      <w:r>
        <w:t xml:space="preserve"> </w:t>
      </w:r>
    </w:p>
    <w:p>
      <w:pPr>
        <w:pStyle w:val="BodyText"/>
      </w:pPr>
      <w:r>
        <w:t xml:space="preserve">It’s important to note that while SAC</w:t>
      </w:r>
      <w:r>
        <w:rPr>
          <w:vertAlign w:val="subscript"/>
        </w:rPr>
        <w:t xml:space="preserve">254</w:t>
      </w:r>
      <w:r>
        <w:t xml:space="preserve"> </w:t>
      </w:r>
      <w:r>
        <w:t xml:space="preserve">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However, aqueous nitrogen, in combination with NOM, can also play an important roll as a precursor to nitrogenous-DBPs, which could potentially make SAC</w:t>
      </w:r>
      <w:r>
        <w:rPr>
          <w:vertAlign w:val="subscript"/>
        </w:rPr>
        <w:t xml:space="preserve">254</w:t>
      </w:r>
      <w:r>
        <w:t xml:space="preserve"> </w:t>
      </w:r>
      <w:r>
        <w:t xml:space="preserve">an even better indicator of DBP-FP. It would be interesting to evaluate nitrogenous DBPs in realtion to SAC</w:t>
      </w:r>
      <w:r>
        <w:rPr>
          <w:vertAlign w:val="subscript"/>
        </w:rPr>
        <w:t xml:space="preserve">254</w:t>
      </w:r>
      <w:r>
        <w:t xml:space="preserve">, NOM, and DBP-FPs.</w:t>
      </w:r>
    </w:p>
    <w:p>
      <w:pPr>
        <w:pStyle w:val="BodyText"/>
      </w:pPr>
      <w:r>
        <w:t xml:space="preserve"> </w:t>
      </w:r>
    </w:p>
    <w:p>
      <w:pPr>
        <w:pStyle w:val="Heading8"/>
      </w:pPr>
      <w:bookmarkStart w:id="167" w:name="X4b7b3e6ac6573f953e6980479d08b8ee7c28f75"/>
      <w:r>
        <w:t xml:space="preserve">Metals &amp; DOC: collaborative sampling for Metals on behalf of the CRD</w:t>
      </w:r>
      <w:bookmarkEnd w:id="167"/>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Maxxam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4:  Concentrations of total metals (in µg/L) and dissolved organic carbon (DOC) concentrations in stream water samples collected across the Leech WSA"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6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t xml:space="preserve">Concentrations of total metals (in µg/L) and dissolved organic carbon (DOC) concentrations in stream water samples collected across the Leech WSA</w:t>
      </w:r>
    </w:p>
    <w:p>
      <w:pPr>
        <w:pStyle w:val="BodyText"/>
      </w:pPr>
      <w:r>
        <w:t xml:space="preserve"> </w:t>
      </w:r>
    </w:p>
    <w:p>
      <w:pPr>
        <w:pStyle w:val="CaptionedFigure"/>
      </w:pPr>
      <w:r>
        <w:drawing>
          <wp:inline>
            <wp:extent cx="5943600" cy="3668888"/>
            <wp:effectExtent b="0" l="0" r="0" t="0"/>
            <wp:docPr descr="Figure 35:  Concentrations of total metals (in mg/L) and dissolved organic carbon (DOC) concentrations in stream water samples collected across the Leech WSA"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6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t xml:space="preserve">Concentrations of total metals (in mg/L) and dissolved organic carbon (DOC) concentrations in stream water samples collected across the Leech WSA</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27</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27: Linear relationships between total metals with dissolved organic carbon in stream water samples collected across the Leech WSA</w:t>
      </w:r>
    </w:p>
    <w:tbl>
      <w:tblPr>
        <w:tblStyle w:val="Table"/>
        <w:tblW w:type="pct" w:w="0.0"/>
        <w:tblLook w:firstRow="1"/>
        <w:tblCaption w:val="Table 27: Linear relationships between total metals with dissolved organic carbon in stream water samples collected across the Leech WSA"/>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70" w:name="Xd57e388ce9932f107a386bb53a269f0c13afe86"/>
      <w:r>
        <w:t xml:space="preserve">NOM sampling in nested catchments (Chapter 3 extended)</w:t>
      </w:r>
      <w:bookmarkEnd w:id="170"/>
    </w:p>
    <w:p>
      <w:pPr>
        <w:pStyle w:val="FirstParagraph"/>
      </w:pPr>
      <w:r>
        <w:t xml:space="preserve">Below the confluences of headwaters sites (Figure</w:t>
      </w:r>
      <w:r>
        <w:t xml:space="preserve"> </w:t>
      </w:r>
      <w:r>
        <w:t xml:space="preserve">36</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36</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r>
        <w:t xml:space="preserve"> </w:t>
      </w:r>
      <w:r>
        <w:t xml:space="preserve"> </w:t>
      </w:r>
    </w:p>
    <w:p>
      <w:pPr>
        <w:pStyle w:val="CaptionedFigure"/>
      </w:pPr>
      <w:r>
        <w:drawing>
          <wp:inline>
            <wp:extent cx="5504749" cy="5504749"/>
            <wp:effectExtent b="0" l="0" r="0" t="0"/>
            <wp:docPr descr="Figure 36: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7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t xml:space="preserve">Grab sample SAC</w:t>
      </w:r>
      <w:r>
        <w:rPr>
          <w:vertAlign w:val="subscript"/>
        </w:rPr>
        <w:t xml:space="preserve">254</w:t>
      </w:r>
      <w:r>
        <w:t xml:space="preserve"> </w:t>
      </w:r>
      <w:r>
        <w:t xml:space="preserve">at upstream locations compared to Rack and Grab sample SAC</w:t>
      </w:r>
      <w:r>
        <w:rPr>
          <w:vertAlign w:val="subscript"/>
        </w:rPr>
        <w:t xml:space="preserve">254</w:t>
      </w:r>
      <w:r>
        <w:t xml:space="preserve"> </w:t>
      </w:r>
      <w: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37</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7: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7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t xml:space="preserve"> </w:t>
      </w:r>
      <w:r>
        <w:t xml:space="preserve">Grab sample E</w:t>
      </w:r>
      <w:r>
        <w:rPr>
          <w:vertAlign w:val="subscript"/>
        </w:rPr>
        <w:t xml:space="preserve">2</w:t>
      </w:r>
      <w:r>
        <w:t xml:space="preserve">:E</w:t>
      </w:r>
      <w:r>
        <w:rPr>
          <w:vertAlign w:val="subscript"/>
        </w:rPr>
        <w:t xml:space="preserve">3</w:t>
      </w:r>
      <w:r>
        <w:t xml:space="preserve"> </w:t>
      </w:r>
      <w:r>
        <w:t xml:space="preserve">at upstream locations compared to Rack and Grab sample E</w:t>
      </w:r>
      <w:r>
        <w:rPr>
          <w:vertAlign w:val="subscript"/>
        </w:rPr>
        <w:t xml:space="preserve">2</w:t>
      </w:r>
      <w:r>
        <w:t xml:space="preserve">:E</w:t>
      </w:r>
      <w:r>
        <w:rPr>
          <w:vertAlign w:val="subscript"/>
        </w:rPr>
        <w:t xml:space="preserve">3</w:t>
      </w:r>
      <w:r>
        <w:t xml:space="preserve"> </w:t>
      </w:r>
      <w: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73" w:name="random-forests-chapter-4-extended"/>
      <w:r>
        <w:t xml:space="preserve">Random Forests (Chapter 4 extended)</w:t>
      </w:r>
      <w:bookmarkEnd w:id="173"/>
    </w:p>
    <w:p>
      <w:pPr>
        <w:pStyle w:val="Heading8"/>
      </w:pPr>
      <w:bookmarkStart w:id="174" w:name="random-forests-background"/>
      <w:r>
        <w:t xml:space="preserve">Random Forests background</w:t>
      </w:r>
      <w:bookmarkEnd w:id="174"/>
    </w:p>
    <w:p>
      <w:pPr>
        <w:pStyle w:val="FirstParagraph"/>
      </w:pPr>
      <w:r>
        <w:t xml:space="preserve"> </w:t>
      </w:r>
    </w:p>
    <w:p>
      <w:pPr>
        <w:pStyle w:val="BodyText"/>
      </w:pPr>
      <w:r>
        <w:t xml:space="preserve">A Random Forest is a collection of decision trees, that collectively comprise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VIM is calculated by permutation</w:t>
      </w:r>
      <w:r>
        <w:t xml:space="preserve"> </w:t>
      </w:r>
      <w:r>
        <w:t xml:space="preserve">(Liaw and Wiener</w:t>
      </w:r>
      <w:r>
        <w:t xml:space="preserve"> </w:t>
      </w:r>
      <w:hyperlink w:anchor="ref-Liaw2018">
        <w:r>
          <w:rPr>
            <w:rStyle w:val="Hyperlink"/>
          </w:rPr>
          <w:t xml:space="preserve">2018</w:t>
        </w:r>
      </w:hyperlink>
      <w:r>
        <w:t xml:space="preserve">)</w:t>
      </w:r>
      <w:r>
        <w:t xml:space="preserve"> </w:t>
      </w:r>
      <w:r>
        <w:t xml:space="preserve">and type 2 is assessed as a decrease in node impurity; for classification problems this is measured by the Gini index and for regression, it’s measures by the residual sum of squares</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(Chapter 4,</w:t>
      </w:r>
      <w:r>
        <w:t xml:space="preserve"> </w:t>
      </w:r>
      <w:r>
        <w:t xml:space="preserve">‘</w:t>
      </w:r>
      <w:r>
        <w:t xml:space="preserve">RF quality control</w:t>
      </w:r>
      <w:r>
        <w:t xml:space="preserve">’</w:t>
      </w:r>
      <w:r>
        <w:t xml:space="preserve"> </w:t>
      </w:r>
      <w:r>
        <w:t xml:space="preserve">section).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 and was conducted in the Chapter 4 analysis.</w:t>
      </w:r>
    </w:p>
    <w:p>
      <w:pPr>
        <w:pStyle w:val="BodyText"/>
      </w:pPr>
      <w:r>
        <w:t xml:space="preserve"> </w:t>
      </w:r>
    </w:p>
    <w:p>
      <w:pPr>
        <w:pStyle w:val="Heading8"/>
      </w:pPr>
      <w:bookmarkStart w:id="175" w:name="X535eef1350fbf66d4c05444a46f2e4d35caee3c"/>
      <w:r>
        <w:t xml:space="preserve">Random Forests Variable Importance Measure</w:t>
      </w:r>
      <w:bookmarkEnd w:id="175"/>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38</w:t>
      </w:r>
      <w:r>
        <w:t xml:space="preserve"> </w:t>
      </w:r>
      <w:r>
        <w:t xml:space="preserve">and see how the relative rankings changed.</w:t>
      </w:r>
    </w:p>
    <w:p>
      <w:pPr>
        <w:pStyle w:val="CaptionedFigure"/>
      </w:pPr>
      <w:r>
        <w:drawing>
          <wp:inline>
            <wp:extent cx="5504749" cy="6880936"/>
            <wp:effectExtent b="0" l="0" r="0" t="0"/>
            <wp:docPr descr="Figure 38:  Random Forest variable importance measure for NOM concentration and character using combined predictant types (dynamic conditions and static watershed chaaracteristics), which altered the relative importance ranking compared to when the groups were assessed separately"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76"/>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38:</w:t>
      </w:r>
      <w:r>
        <w:t xml:space="preserve"> </w:t>
      </w:r>
      <w:r>
        <w:t xml:space="preserve"> </w:t>
      </w:r>
      <w:r>
        <w:t xml:space="preserve">Random Forest variable importance measure for NOM concentration and character using combined predictant types (dynamic conditions and static watershed chaaracteristics), which altered the relative importance ranking compared to when the groups were assessed separately</w:t>
      </w:r>
    </w:p>
    <w:p>
      <w:pPr>
        <w:pStyle w:val="BodyText"/>
      </w:pPr>
      <w:r>
        <w:t xml:space="preserve"> </w:t>
      </w:r>
    </w:p>
    <w:p>
      <w:pPr>
        <w:pStyle w:val="BodyText"/>
      </w:pPr>
      <w:r>
        <w:t xml:space="preserve">Enough samples were collected for DOC assessment in both the dry and wet seasons to see a pattern of wet season increase in DOC with increasing antecedent air temperatures; there was no clear pattern in the dry season (Figure</w:t>
      </w:r>
      <w:r>
        <w:t xml:space="preserve"> </w:t>
      </w:r>
      <w:r>
        <w:t xml:space="preserve">39</w:t>
      </w:r>
      <w:r>
        <w:t xml:space="preserve">).</w:t>
      </w:r>
    </w:p>
    <w:p>
      <w:pPr>
        <w:pStyle w:val="BodyText"/>
      </w:pPr>
      <w:r>
        <w:t xml:space="preserve"> </w:t>
      </w:r>
    </w:p>
    <w:p>
      <w:pPr>
        <w:pStyle w:val="CaptionedFigure"/>
      </w:pPr>
      <w:r>
        <w:drawing>
          <wp:inline>
            <wp:extent cx="3669832" cy="3669832"/>
            <wp:effectExtent b="0" l="0" r="0" t="0"/>
            <wp:docPr descr="Figure 39:  Antecedent 7-day air temperature as a predictor variable for concentrations of dissolved organic carbon in the wet and dry seasons of the Leech Water Supply Area (including loess trend lines)"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7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t xml:space="preserve"> </w:t>
      </w:r>
      <w:r>
        <w:t xml:space="preserve">Antecedent 7-day air temperature as a predictor variable for concentrations of dissolved organic carbon in the wet and dry seasons of the Leech Water Supply Area (including loess trend lines)</w:t>
      </w:r>
    </w:p>
    <w:p>
      <w:pPr>
        <w:pStyle w:val="BodyText"/>
      </w:pPr>
      <w:r>
        <w:t xml:space="preserve"> </w:t>
      </w:r>
    </w:p>
    <w:p>
      <w:pPr>
        <w:pStyle w:val="BodyText"/>
      </w:pPr>
      <w:r>
        <w:t xml:space="preserve">The relationships between NOM proxy parameters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with 30-day antecedent rain were slightly different at each site (Figure</w:t>
      </w:r>
      <w:r>
        <w:t xml:space="preserve"> </w:t>
      </w:r>
      <w:r>
        <w:t xml:space="preserve">40</w:t>
      </w:r>
      <w:r>
        <w:t xml:space="preserve">). Generally, DOC decreased with increasing 30-day antecedent rain at all site above approximately 200mm of accumulated rain. There were insufficient data at each site to tease out clear patterns with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CaptionedFigure"/>
      </w:pPr>
      <w:r>
        <w:drawing>
          <wp:inline>
            <wp:extent cx="5504749" cy="6422207"/>
            <wp:effectExtent b="0" l="0" r="0" t="0"/>
            <wp:docPr descr="Figure 40: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78"/>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40:</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7"/>
      </w:pPr>
      <w:bookmarkStart w:id="179" w:name="hysteresis-chapter-4-bonus"/>
      <w:r>
        <w:t xml:space="preserve">Hysteresis (Chapter 4 bonus)</w:t>
      </w:r>
      <w:bookmarkEnd w:id="179"/>
    </w:p>
    <w:p>
      <w:pPr>
        <w:pStyle w:val="Heading8"/>
      </w:pPr>
      <w:bookmarkStart w:id="180" w:name="background"/>
      <w:r>
        <w:t xml:space="preserve">Background</w:t>
      </w:r>
      <w:bookmarkEnd w:id="180"/>
    </w:p>
    <w:p>
      <w:pPr>
        <w:pStyle w:val="FirstParagraph"/>
      </w:pPr>
      <w:r>
        <w:t xml:space="preserve">Storm events are understood to be a key driver for solute and particle mobilization in streams</w:t>
      </w:r>
      <w:r>
        <w:t xml:space="preserve"> </w:t>
      </w:r>
      <w:r>
        <w:t xml:space="preserve">(e.g. Aguilera and Melack</w:t>
      </w:r>
      <w:r>
        <w:t xml:space="preserve"> </w:t>
      </w:r>
      <w:hyperlink w:anchor="ref-Aguilera2018">
        <w:r>
          <w:rPr>
            <w:rStyle w:val="Hyperlink"/>
          </w:rPr>
          <w:t xml:space="preserve">2018</w:t>
        </w:r>
      </w:hyperlink>
      <w:r>
        <w:t xml:space="preserve">)</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(i.e. clockwise vs. counterclockwise),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For example,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Heading8"/>
      </w:pPr>
      <w:bookmarkStart w:id="181" w:name="methods"/>
      <w:r>
        <w:t xml:space="preserve">Methods</w:t>
      </w:r>
      <w:bookmarkEnd w:id="18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br/>
      </w:r>
    </w:p>
    <w:p>
      <w:pPr>
        <w:pStyle w:val="Heading8"/>
      </w:pPr>
      <w:bookmarkStart w:id="182" w:name="X404510d1bd96af4d981e7f11674dca829445813"/>
      <w:r>
        <w:t xml:space="preserve">Results and discussion: Hysteresis of NOM with antecedent wetness</w:t>
      </w:r>
      <w:bookmarkEnd w:id="182"/>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41</w:t>
      </w:r>
      <w:r>
        <w:t xml:space="preserve">).</w:t>
      </w:r>
    </w:p>
    <w:p>
      <w:pPr>
        <w:pStyle w:val="BodyText"/>
      </w:pPr>
      <w:r>
        <w:t xml:space="preserve"> </w:t>
      </w:r>
    </w:p>
    <w:p>
      <w:pPr>
        <w:pStyle w:val="CaptionedFigure"/>
      </w:pPr>
      <w:r>
        <w:drawing>
          <wp:inline>
            <wp:extent cx="5504749" cy="5963478"/>
            <wp:effectExtent b="0" l="0" r="0" t="0"/>
            <wp:docPr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83"/>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t xml:space="preserve">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42</w:t>
      </w:r>
      <w:r>
        <w:t xml:space="preserve">).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w:t>
      </w:r>
      <w:r>
        <w:t xml:space="preserve"> </w:t>
      </w:r>
      <w:r>
        <w:t xml:space="preserve">15</w:t>
      </w:r>
      <w:r>
        <w:t xml:space="preserve">).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w:t>
      </w:r>
      <w:r>
        <w:t xml:space="preserve"> </w:t>
      </w:r>
      <w:r>
        <w:t xml:space="preserve">42</w:t>
      </w:r>
      <w:r>
        <w:t xml:space="preserve">). At the Tunnel, there was a change in loop direction at the end of each event.</w:t>
      </w:r>
    </w:p>
    <w:p>
      <w:pPr>
        <w:pStyle w:val="BodyText"/>
      </w:pPr>
      <w:r>
        <w:t xml:space="preserve"> </w:t>
      </w:r>
    </w:p>
    <w:p>
      <w:pPr>
        <w:pStyle w:val="CaptionedFigure"/>
      </w:pPr>
      <w:r>
        <w:drawing>
          <wp:inline>
            <wp:extent cx="5504749" cy="5504749"/>
            <wp:effectExtent b="0" l="0" r="0" t="0"/>
            <wp:docPr descr="Figure 42: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8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BodyText"/>
      </w:pPr>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loop for event 11 supported the idea of stream NOM enrichment occurring as antecedent wetness increased (i.e. hydrologic connectivity increased).</w:t>
      </w:r>
    </w:p>
    <w:p>
      <w:pPr>
        <w:pStyle w:val="BodyText"/>
      </w:pPr>
      <w:r>
        <w:t xml:space="preserve"> </w:t>
      </w:r>
    </w:p>
    <w:p>
      <w:pPr>
        <w:pStyle w:val="BodyText"/>
      </w:pPr>
      <w:r>
        <w:t xml:space="preserve">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43</w:t>
      </w:r>
      <w:r>
        <w:t xml:space="preserve">).</w:t>
      </w:r>
    </w:p>
    <w:p>
      <w:pPr>
        <w:pStyle w:val="BodyText"/>
      </w:pPr>
      <w:r>
        <w:t xml:space="preserve"> </w:t>
      </w:r>
    </w:p>
    <w:p>
      <w:pPr>
        <w:pStyle w:val="CaptionedFigure"/>
      </w:pPr>
      <w:r>
        <w:drawing>
          <wp:inline>
            <wp:extent cx="3669832" cy="3669832"/>
            <wp:effectExtent b="0" l="0" r="0" t="0"/>
            <wp:docPr descr="Figure 43: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8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43: TRUE</w:t>
      </w:r>
    </w:p>
    <w:p>
      <w:pPr>
        <w:pStyle w:val="BodyText"/>
      </w:pPr>
      <w:r>
        <w:t xml:space="preserve"> </w:t>
      </w:r>
    </w:p>
    <w:bookmarkStart w:id="353" w:name="refs"/>
    <w:bookmarkStart w:id="187"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86">
        <w:r>
          <w:rPr>
            <w:rStyle w:val="Hyperlink"/>
          </w:rPr>
          <w:t xml:space="preserve">https://doi.org/10.1111/ele.12897</w:t>
        </w:r>
      </w:hyperlink>
      <w:r>
        <w:t xml:space="preserve">.</w:t>
      </w:r>
    </w:p>
    <w:bookmarkEnd w:id="187"/>
    <w:bookmarkStart w:id="189"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8">
        <w:r>
          <w:rPr>
            <w:rStyle w:val="Hyperlink"/>
          </w:rPr>
          <w:t xml:space="preserve">https://doi.org/10.1002/2017WR021578</w:t>
        </w:r>
      </w:hyperlink>
      <w:r>
        <w:t xml:space="preserve">.</w:t>
      </w:r>
    </w:p>
    <w:bookmarkEnd w:id="189"/>
    <w:bookmarkStart w:id="191"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90">
        <w:r>
          <w:rPr>
            <w:rStyle w:val="Hyperlink"/>
          </w:rPr>
          <w:t xml:space="preserve">https://doi.org/10.1002/j.1551-8833.1995.tb06299.x</w:t>
        </w:r>
      </w:hyperlink>
      <w:r>
        <w:t xml:space="preserve">.</w:t>
      </w:r>
    </w:p>
    <w:bookmarkEnd w:id="191"/>
    <w:bookmarkStart w:id="193"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92">
        <w:r>
          <w:rPr>
            <w:rStyle w:val="Hyperlink"/>
          </w:rPr>
          <w:t xml:space="preserve">https://doi.org/10.1021/es103992s</w:t>
        </w:r>
      </w:hyperlink>
      <w:r>
        <w:t xml:space="preserve">.</w:t>
      </w:r>
    </w:p>
    <w:bookmarkEnd w:id="193"/>
    <w:bookmarkStart w:id="195"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94">
        <w:r>
          <w:rPr>
            <w:rStyle w:val="Hyperlink"/>
          </w:rPr>
          <w:t xml:space="preserve">https://doi.org/10.1016/j.jhydrol.2014.05.060</w:t>
        </w:r>
      </w:hyperlink>
      <w:r>
        <w:t xml:space="preserve">.</w:t>
      </w:r>
    </w:p>
    <w:bookmarkEnd w:id="195"/>
    <w:bookmarkStart w:id="197"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96">
        <w:r>
          <w:rPr>
            <w:rStyle w:val="Hyperlink"/>
          </w:rPr>
          <w:t xml:space="preserve">https://doi.org/10.1029/2007JG000674</w:t>
        </w:r>
      </w:hyperlink>
      <w:r>
        <w:t xml:space="preserve">.</w:t>
      </w:r>
    </w:p>
    <w:bookmarkEnd w:id="197"/>
    <w:bookmarkStart w:id="199"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8">
        <w:r>
          <w:rPr>
            <w:rStyle w:val="Hyperlink"/>
          </w:rPr>
          <w:t xml:space="preserve">http://www.standardmethods.org/</w:t>
        </w:r>
      </w:hyperlink>
      <w:r>
        <w:t xml:space="preserve">.</w:t>
      </w:r>
    </w:p>
    <w:bookmarkEnd w:id="199"/>
    <w:bookmarkStart w:id="201"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200">
        <w:r>
          <w:rPr>
            <w:rStyle w:val="Hyperlink"/>
          </w:rPr>
          <w:t xml:space="preserve">https://doi.org/10.2105/SMWW.2882.113</w:t>
        </w:r>
      </w:hyperlink>
      <w:r>
        <w:t xml:space="preserve">.</w:t>
      </w:r>
    </w:p>
    <w:bookmarkEnd w:id="201"/>
    <w:bookmarkStart w:id="203" w:name="ref-Beauchamp2018"/>
    <w:p>
      <w:pPr>
        <w:pStyle w:val="Bibliography"/>
      </w:pPr>
      <w:r>
        <w:t xml:space="preserve">Beauchamp, Nicolas, Olivier Laflamme, Sabrina Simard, Caetano Dorea, Geneviève Pelletier, Christian Bouchard, and Manuel Rodriguez. 2018. “Relationships between DBP concentrations and differential UV absorbance in full-scale conditions.”</w:t>
      </w:r>
      <w:r>
        <w:t xml:space="preserve"> </w:t>
      </w:r>
      <w:r>
        <w:rPr>
          <w:i/>
        </w:rPr>
        <w:t xml:space="preserve">Water Research</w:t>
      </w:r>
      <w:r>
        <w:t xml:space="preserve"> </w:t>
      </w:r>
      <w:r>
        <w:t xml:space="preserve">131: 110–21.</w:t>
      </w:r>
      <w:r>
        <w:t xml:space="preserve"> </w:t>
      </w:r>
      <w:hyperlink r:id="rId202">
        <w:r>
          <w:rPr>
            <w:rStyle w:val="Hyperlink"/>
          </w:rPr>
          <w:t xml:space="preserve">https://doi.org/10.1016/j.watres.2017.12.031</w:t>
        </w:r>
      </w:hyperlink>
      <w:r>
        <w:t xml:space="preserve">.</w:t>
      </w:r>
    </w:p>
    <w:bookmarkEnd w:id="203"/>
    <w:bookmarkStart w:id="205"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204">
        <w:r>
          <w:rPr>
            <w:rStyle w:val="Hyperlink"/>
          </w:rPr>
          <w:t xml:space="preserve">https://doi.org/10.1007/s11749-016-0481-7</w:t>
        </w:r>
      </w:hyperlink>
      <w:r>
        <w:t xml:space="preserve">.</w:t>
      </w:r>
    </w:p>
    <w:bookmarkEnd w:id="205"/>
    <w:bookmarkStart w:id="207"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206">
        <w:r>
          <w:rPr>
            <w:rStyle w:val="Hyperlink"/>
          </w:rPr>
          <w:t xml:space="preserve">https://doi.org/10.1201/9780367816377-11</w:t>
        </w:r>
      </w:hyperlink>
      <w:r>
        <w:t xml:space="preserve">.</w:t>
      </w:r>
    </w:p>
    <w:bookmarkEnd w:id="207"/>
    <w:bookmarkStart w:id="209" w:name="ref-BC2019"/>
    <w:p>
      <w:pPr>
        <w:pStyle w:val="Bibliography"/>
      </w:pPr>
      <w:r>
        <w:t xml:space="preserve">British Columbia Ministry of Environment. 2017. “BC Source Drinking Water Quality Guidelines: Guideline Summary.” Victoria, B.C.: Prov. B.C.</w:t>
      </w:r>
      <w:r>
        <w:t xml:space="preserve"> </w:t>
      </w:r>
      <w:hyperlink r:id="rId208">
        <w:r>
          <w:rPr>
            <w:rStyle w:val="Hyperlink"/>
          </w:rPr>
          <w:t xml:space="preserve">https://www2.gov.bc.ca/gov/content/governments/organizational-structure/ministries-organizations/ministries/environment-climate-change</w:t>
        </w:r>
      </w:hyperlink>
      <w:r>
        <w:t xml:space="preserve">.</w:t>
      </w:r>
    </w:p>
    <w:bookmarkEnd w:id="209"/>
    <w:bookmarkStart w:id="210" w:name="ref-CCME2004"/>
    <w:p>
      <w:pPr>
        <w:pStyle w:val="Bibliography"/>
      </w:pPr>
      <w:r>
        <w:t xml:space="preserve">Canadian Council of Ministers of the Environment. 2004. “From source to tap : guidance on the multi-barrier approach to safe drinking water.”</w:t>
      </w:r>
    </w:p>
    <w:bookmarkEnd w:id="210"/>
    <w:bookmarkStart w:id="212" w:name="ref-SoilScience2020"/>
    <w:p>
      <w:pPr>
        <w:pStyle w:val="Bibliography"/>
      </w:pPr>
      <w:r>
        <w:t xml:space="preserve">Canadian Society of Soil Science. 2020. “Soils of Canada.”</w:t>
      </w:r>
      <w:r>
        <w:t xml:space="preserve"> </w:t>
      </w:r>
      <w:hyperlink r:id="rId211">
        <w:r>
          <w:rPr>
            <w:rStyle w:val="Hyperlink"/>
          </w:rPr>
          <w:t xml:space="preserve">https://soilsofcanada.ca</w:t>
        </w:r>
      </w:hyperlink>
      <w:r>
        <w:t xml:space="preserve">.</w:t>
      </w:r>
    </w:p>
    <w:bookmarkEnd w:id="212"/>
    <w:bookmarkStart w:id="214" w:name="ref-CRD"/>
    <w:p>
      <w:pPr>
        <w:pStyle w:val="Bibliography"/>
      </w:pPr>
      <w:r>
        <w:t xml:space="preserve">Capital Regional District. 2015. “Facts and Figures for the Greater Victoria Water Supply Area.”</w:t>
      </w:r>
      <w:r>
        <w:t xml:space="preserve"> </w:t>
      </w:r>
      <w:hyperlink r:id="rId213">
        <w:r>
          <w:rPr>
            <w:rStyle w:val="Hyperlink"/>
          </w:rPr>
          <w:t xml:space="preserve">https://www.crd.bc.ca/service/public-tours/watershed-tours/facts-figures</w:t>
        </w:r>
      </w:hyperlink>
      <w:r>
        <w:t xml:space="preserve">.</w:t>
      </w:r>
    </w:p>
    <w:bookmarkEnd w:id="214"/>
    <w:bookmarkStart w:id="215"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15"/>
    <w:bookmarkStart w:id="217"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16">
        <w:r>
          <w:rPr>
            <w:rStyle w:val="Hyperlink"/>
          </w:rPr>
          <w:t xml:space="preserve">https://doi.org/10.2166/aqua.2008.064</w:t>
        </w:r>
      </w:hyperlink>
      <w:r>
        <w:t xml:space="preserve">.</w:t>
      </w:r>
    </w:p>
    <w:bookmarkEnd w:id="217"/>
    <w:bookmarkStart w:id="219"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18">
        <w:r>
          <w:rPr>
            <w:rStyle w:val="Hyperlink"/>
          </w:rPr>
          <w:t xml:space="preserve">https://doi.org/10.1007/978-94-007-1363-5</w:t>
        </w:r>
      </w:hyperlink>
      <w:r>
        <w:t xml:space="preserve">.</w:t>
      </w:r>
    </w:p>
    <w:bookmarkEnd w:id="219"/>
    <w:bookmarkStart w:id="221" w:name="ref-CapitalRegionDistrict2017"/>
    <w:p>
      <w:pPr>
        <w:pStyle w:val="Bibliography"/>
      </w:pPr>
      <w:r>
        <w:t xml:space="preserve">CRD. 2017. “Regional Water Supply 2017 Strategic Plan.” Victoria, B.C.: Capital Region District, Integrated Water Services.</w:t>
      </w:r>
      <w:r>
        <w:t xml:space="preserve"> </w:t>
      </w:r>
      <w:hyperlink r:id="rId220">
        <w:r>
          <w:rPr>
            <w:rStyle w:val="Hyperlink"/>
          </w:rPr>
          <w:t xml:space="preserve">https://www.crd.bc.ca/project/past-capital-projects-and-initiatives/water-supply-plan</w:t>
        </w:r>
      </w:hyperlink>
      <w:r>
        <w:t xml:space="preserve">.</w:t>
      </w:r>
    </w:p>
    <w:bookmarkEnd w:id="221"/>
    <w:bookmarkStart w:id="223"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22">
        <w:r>
          <w:rPr>
            <w:rStyle w:val="Hyperlink"/>
          </w:rPr>
          <w:t xml:space="preserve">https://doi.org/IWSS-297445977-5079</w:t>
        </w:r>
      </w:hyperlink>
      <w:r>
        <w:t xml:space="preserve">.</w:t>
      </w:r>
    </w:p>
    <w:bookmarkEnd w:id="223"/>
    <w:bookmarkStart w:id="225"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24">
        <w:r>
          <w:rPr>
            <w:rStyle w:val="Hyperlink"/>
          </w:rPr>
          <w:t xml:space="preserve">https://doi.org/10.1139/cjfas-2014-0400</w:t>
        </w:r>
      </w:hyperlink>
      <w:r>
        <w:t xml:space="preserve">.</w:t>
      </w:r>
    </w:p>
    <w:bookmarkEnd w:id="225"/>
    <w:bookmarkStart w:id="227"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26">
        <w:r>
          <w:rPr>
            <w:rStyle w:val="Hyperlink"/>
          </w:rPr>
          <w:t xml:space="preserve">https://doi.org/10.1016/B978-0-12-382092-1.00019-1</w:t>
        </w:r>
      </w:hyperlink>
      <w:r>
        <w:t xml:space="preserve">.</w:t>
      </w:r>
    </w:p>
    <w:bookmarkEnd w:id="227"/>
    <w:bookmarkStart w:id="229"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28">
        <w:r>
          <w:rPr>
            <w:rStyle w:val="Hyperlink"/>
          </w:rPr>
          <w:t xml:space="preserve">https://doi.org/10.1016/j.watres.2016.08.031</w:t>
        </w:r>
      </w:hyperlink>
      <w:r>
        <w:t xml:space="preserve">.</w:t>
      </w:r>
    </w:p>
    <w:bookmarkEnd w:id="229"/>
    <w:bookmarkStart w:id="231" w:name="ref-Diehl2007"/>
    <w:p>
      <w:pPr>
        <w:pStyle w:val="Bibliography"/>
      </w:pPr>
      <w:r>
        <w:t xml:space="preserve">Diehl, Timothy H. 2007. “A Modified Siphon Sampler for Shallow Water.” U.S. Department of the Interior, U.S. Geological Survey.</w:t>
      </w:r>
      <w:r>
        <w:t xml:space="preserve"> </w:t>
      </w:r>
      <w:hyperlink r:id="rId230">
        <w:r>
          <w:rPr>
            <w:rStyle w:val="Hyperlink"/>
          </w:rPr>
          <w:t xml:space="preserve">https://pubs.er.usgs.gov/publication/sir20075282</w:t>
        </w:r>
      </w:hyperlink>
      <w:r>
        <w:t xml:space="preserve">.</w:t>
      </w:r>
    </w:p>
    <w:bookmarkEnd w:id="231"/>
    <w:bookmarkStart w:id="233"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32">
        <w:r>
          <w:rPr>
            <w:rStyle w:val="Hyperlink"/>
          </w:rPr>
          <w:t xml:space="preserve">http://scholar.google.com/scholar?hl=en{\&amp;}btnG=Search{\&amp;}q=intitle:Running+Pure{\#}1</w:t>
        </w:r>
      </w:hyperlink>
      <w:r>
        <w:t xml:space="preserve">.</w:t>
      </w:r>
    </w:p>
    <w:bookmarkEnd w:id="233"/>
    <w:bookmarkStart w:id="235"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34">
        <w:r>
          <w:rPr>
            <w:rStyle w:val="Hyperlink"/>
          </w:rPr>
          <w:t xml:space="preserve">https://doi.org/10.1016/j.watres.2010.08.051</w:t>
        </w:r>
      </w:hyperlink>
      <w:r>
        <w:t xml:space="preserve">.</w:t>
      </w:r>
    </w:p>
    <w:bookmarkEnd w:id="235"/>
    <w:bookmarkStart w:id="236" w:name="ref-Epps1994"/>
    <w:p>
      <w:pPr>
        <w:pStyle w:val="Bibliography"/>
      </w:pPr>
      <w:r>
        <w:t xml:space="preserve">Epps, Deborah Norine. 1994. “Factors Affecting Disinfection By-Products from Surface Source Waters on Vancouver Island.” Master of Science, University of Victoria.</w:t>
      </w:r>
    </w:p>
    <w:bookmarkEnd w:id="236"/>
    <w:bookmarkStart w:id="238"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37">
        <w:r>
          <w:rPr>
            <w:rStyle w:val="Hyperlink"/>
          </w:rPr>
          <w:t xml:space="preserve">https://doi.org/10.1002/(SICI)1099-1085(199903)13:4&lt;563::AID-HYP711&gt;3.0.CO;2-N</w:t>
        </w:r>
      </w:hyperlink>
      <w:r>
        <w:t xml:space="preserve">.</w:t>
      </w:r>
    </w:p>
    <w:bookmarkEnd w:id="238"/>
    <w:bookmarkStart w:id="240"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39">
        <w:r>
          <w:rPr>
            <w:rStyle w:val="Hyperlink"/>
          </w:rPr>
          <w:t xml:space="preserve">https://doi.org/10.1029/97WR01881</w:t>
        </w:r>
      </w:hyperlink>
      <w:r>
        <w:t xml:space="preserve">.</w:t>
      </w:r>
    </w:p>
    <w:bookmarkEnd w:id="240"/>
    <w:bookmarkStart w:id="242" w:name="ref-Fellman2008"/>
    <w:p>
      <w:pPr>
        <w:pStyle w:val="Bibliography"/>
      </w:pPr>
      <w:r>
        <w:t xml:space="preserve">Fellman, Jason B., David V. D’Amore, and Eran Hood. 2008. “An evaluation of freezing as a preservation technique for analyzing dissolved organic C, N and P in surface water samples.”</w:t>
      </w:r>
      <w:r>
        <w:t xml:space="preserve"> </w:t>
      </w:r>
      <w:r>
        <w:rPr>
          <w:i/>
        </w:rPr>
        <w:t xml:space="preserve">Science of the Total Environment</w:t>
      </w:r>
      <w:r>
        <w:t xml:space="preserve"> </w:t>
      </w:r>
      <w:r>
        <w:t xml:space="preserve">392 (2-3): 305–12.</w:t>
      </w:r>
      <w:r>
        <w:t xml:space="preserve"> </w:t>
      </w:r>
      <w:hyperlink r:id="rId241">
        <w:r>
          <w:rPr>
            <w:rStyle w:val="Hyperlink"/>
          </w:rPr>
          <w:t xml:space="preserve">https://doi.org/10.1016/j.scitotenv.2007.11.027</w:t>
        </w:r>
      </w:hyperlink>
      <w:r>
        <w:t xml:space="preserve">.</w:t>
      </w:r>
    </w:p>
    <w:bookmarkEnd w:id="242"/>
    <w:bookmarkStart w:id="244" w:name="ref-SoilsCanada2018"/>
    <w:p>
      <w:pPr>
        <w:pStyle w:val="Bibliography"/>
      </w:pPr>
      <w:r>
        <w:t xml:space="preserve">Government of Canada. 2018. “Soils of British Columbia.”</w:t>
      </w:r>
      <w:r>
        <w:t xml:space="preserve"> </w:t>
      </w:r>
      <w:hyperlink r:id="rId243">
        <w:r>
          <w:rPr>
            <w:rStyle w:val="Hyperlink"/>
          </w:rPr>
          <w:t xml:space="preserve">http://sis.agr.gc.ca/cansis/soils/bc/soils.html</w:t>
        </w:r>
      </w:hyperlink>
      <w:r>
        <w:t xml:space="preserve">.</w:t>
      </w:r>
    </w:p>
    <w:bookmarkEnd w:id="244"/>
    <w:bookmarkStart w:id="246"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45">
        <w:r>
          <w:rPr>
            <w:rStyle w:val="Hyperlink"/>
          </w:rPr>
          <w:t xml:space="preserve">https://doi.org/10.3133/fs06700</w:t>
        </w:r>
      </w:hyperlink>
      <w:r>
        <w:t xml:space="preserve">.</w:t>
      </w:r>
    </w:p>
    <w:bookmarkEnd w:id="246"/>
    <w:bookmarkStart w:id="247"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47"/>
    <w:bookmarkStart w:id="249"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48">
        <w:r>
          <w:rPr>
            <w:rStyle w:val="Hyperlink"/>
          </w:rPr>
          <w:t xml:space="preserve">https://doi.org/10.13031/2013.15662</w:t>
        </w:r>
      </w:hyperlink>
      <w:r>
        <w:t xml:space="preserve">.</w:t>
      </w:r>
    </w:p>
    <w:bookmarkEnd w:id="249"/>
    <w:bookmarkStart w:id="251" w:name="ref-HealthCanada2019"/>
    <w:p>
      <w:pPr>
        <w:pStyle w:val="Bibliography"/>
      </w:pPr>
      <w:r>
        <w:t xml:space="preserve">Health Canada. 2019a. “Guidance on Natural Organic Matter in Drinking Water.”</w:t>
      </w:r>
      <w:r>
        <w:t xml:space="preserve"> </w:t>
      </w:r>
      <w:hyperlink r:id="rId250">
        <w:r>
          <w:rPr>
            <w:rStyle w:val="Hyperlink"/>
          </w:rPr>
          <w:t xml:space="preserve">https://www.canada.ca/content/dam/hc-sc/documents/programs/consultation-organic-matter-drinking-water/NOM20190129-eng.pdf</w:t>
        </w:r>
      </w:hyperlink>
      <w:r>
        <w:t xml:space="preserve">.</w:t>
      </w:r>
    </w:p>
    <w:bookmarkEnd w:id="251"/>
    <w:bookmarkStart w:id="253"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52">
        <w:r>
          <w:rPr>
            <w:rStyle w:val="Hyperlink"/>
          </w:rPr>
          <w:t xml:space="preserve">https://www.canada.ca/content/dam/hc-sc/migration/hc-sc/ewh-semt/alt{\_}formats/pdf/pubs/water-eau/sum{\_}guide-res{\_}recom/summary-table-August-15-2019-eng.pdf</w:t>
        </w:r>
      </w:hyperlink>
      <w:r>
        <w:t xml:space="preserve">.</w:t>
      </w:r>
    </w:p>
    <w:bookmarkEnd w:id="253"/>
    <w:bookmarkStart w:id="255" w:name="ref-HealthCanada2006"/>
    <w:p>
      <w:pPr>
        <w:pStyle w:val="Bibliography"/>
      </w:pPr>
      <w:r>
        <w:t xml:space="preserve">HealthCanada. 2006. “Drinking Water Chlorination.”</w:t>
      </w:r>
      <w:r>
        <w:t xml:space="preserve"> </w:t>
      </w:r>
      <w:hyperlink r:id="rId254">
        <w:r>
          <w:rPr>
            <w:rStyle w:val="Hyperlink"/>
          </w:rPr>
          <w:t xml:space="preserve">https://www.canada.ca/en/health-canada/services/healthy-living/your-health/environment/drinking-water-chlorination.html</w:t>
        </w:r>
      </w:hyperlink>
      <w:r>
        <w:t xml:space="preserve">.</w:t>
      </w:r>
    </w:p>
    <w:bookmarkEnd w:id="255"/>
    <w:bookmarkStart w:id="257" w:name="ref-HealthLinkBC2018"/>
    <w:p>
      <w:pPr>
        <w:pStyle w:val="Bibliography"/>
      </w:pPr>
      <w:r>
        <w:t xml:space="preserve">HealthLinkBC. 2018. “Drinking Water Chlorination Facts.”</w:t>
      </w:r>
      <w:r>
        <w:t xml:space="preserve"> </w:t>
      </w:r>
      <w:hyperlink r:id="rId256">
        <w:r>
          <w:rPr>
            <w:rStyle w:val="Hyperlink"/>
          </w:rPr>
          <w:t xml:space="preserve">https://www.healthlinkbc.ca/healthlinkbc-files/drinking-water-chlorination</w:t>
        </w:r>
      </w:hyperlink>
      <w:r>
        <w:t xml:space="preserve">.</w:t>
      </w:r>
    </w:p>
    <w:bookmarkEnd w:id="257"/>
    <w:bookmarkStart w:id="259"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58">
        <w:r>
          <w:rPr>
            <w:rStyle w:val="Hyperlink"/>
          </w:rPr>
          <w:t xml:space="preserve">https://www.jstor.org/stable/40058211</w:t>
        </w:r>
      </w:hyperlink>
      <w:r>
        <w:t xml:space="preserve">.</w:t>
      </w:r>
    </w:p>
    <w:bookmarkEnd w:id="259"/>
    <w:bookmarkStart w:id="261"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60">
        <w:r>
          <w:rPr>
            <w:rStyle w:val="Hyperlink"/>
          </w:rPr>
          <w:t xml:space="preserve">https://doi.org/10.1029/2005JG000082</w:t>
        </w:r>
      </w:hyperlink>
      <w:r>
        <w:t xml:space="preserve">.</w:t>
      </w:r>
    </w:p>
    <w:bookmarkEnd w:id="261"/>
    <w:bookmarkStart w:id="263"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62">
        <w:r>
          <w:rPr>
            <w:rStyle w:val="Hyperlink"/>
          </w:rPr>
          <w:t xml:space="preserve">https://doi.org/10.1002/j.1551-8833.1995.tb06302.x</w:t>
        </w:r>
      </w:hyperlink>
      <w:r>
        <w:t xml:space="preserve">.</w:t>
      </w:r>
    </w:p>
    <w:bookmarkEnd w:id="263"/>
    <w:bookmarkStart w:id="265" w:name="ref-JimenezCisneros2014"/>
    <w:p>
      <w:pPr>
        <w:pStyle w:val="Bibliography"/>
      </w:pPr>
      <w:r>
        <w:t xml:space="preserve">Jiménez Cisneros, Blanca E., Taikan Oki, Nigel W. Arnell, Gerardo Benito, J. Graham Cogley, Petra Döll, Tong Jiang, Shadrack S. Mwakalila, Zbigniew Kundzewicz, and Asako Nishijima. 2014. “Freshwater resources.” Contribution of Working Group II to the Fifth Assessment Report of the Intergovernmental Panel on Climate Change.</w:t>
      </w:r>
      <w:r>
        <w:t xml:space="preserve"> </w:t>
      </w:r>
      <w:hyperlink r:id="rId264">
        <w:r>
          <w:rPr>
            <w:rStyle w:val="Hyperlink"/>
          </w:rPr>
          <w:t xml:space="preserve">https://doi.org/10.1017/CBO9781107415379.008</w:t>
        </w:r>
      </w:hyperlink>
      <w:r>
        <w:t xml:space="preserve">.</w:t>
      </w:r>
    </w:p>
    <w:bookmarkEnd w:id="265"/>
    <w:bookmarkStart w:id="267"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66">
        <w:r>
          <w:rPr>
            <w:rStyle w:val="Hyperlink"/>
          </w:rPr>
          <w:t xml:space="preserve">https://doi.org/doi:10.1046/j.1365-2427.1997.d01-539.x</w:t>
        </w:r>
      </w:hyperlink>
      <w:r>
        <w:t xml:space="preserve">.</w:t>
      </w:r>
    </w:p>
    <w:bookmarkEnd w:id="267"/>
    <w:bookmarkStart w:id="269"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68">
        <w:r>
          <w:rPr>
            <w:rStyle w:val="Hyperlink"/>
          </w:rPr>
          <w:t xml:space="preserve">https://www.jstor.org/stable/41311011</w:t>
        </w:r>
      </w:hyperlink>
      <w:r>
        <w:t xml:space="preserve">.</w:t>
      </w:r>
    </w:p>
    <w:bookmarkEnd w:id="269"/>
    <w:bookmarkStart w:id="271"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70">
        <w:r>
          <w:rPr>
            <w:rStyle w:val="Hyperlink"/>
          </w:rPr>
          <w:t xml:space="preserve">https://doi.org/10.1002/j.1551-8833.2002.tb10250.x</w:t>
        </w:r>
      </w:hyperlink>
      <w:r>
        <w:t xml:space="preserve">.</w:t>
      </w:r>
    </w:p>
    <w:bookmarkEnd w:id="271"/>
    <w:bookmarkStart w:id="273" w:name="ref-Kellerman2018"/>
    <w:p>
      <w:pPr>
        <w:pStyle w:val="Bibliography"/>
      </w:pPr>
      <w:r>
        <w:t xml:space="preserve">Kellerman, Anne M., François Guillemette, David C. Podgorski, George R. Aiken, Kenna D. Butler, and Robert G. M. Spencer. 2018. “Unifying Concepts Linking Dissolved Organic Matter Composition to Persistence in Aquatic Ecosystems.”</w:t>
      </w:r>
      <w:r>
        <w:t xml:space="preserve"> </w:t>
      </w:r>
      <w:r>
        <w:rPr>
          <w:i/>
        </w:rPr>
        <w:t xml:space="preserve">Environmental Science and Technology</w:t>
      </w:r>
      <w:r>
        <w:t xml:space="preserve"> </w:t>
      </w:r>
      <w:r>
        <w:t xml:space="preserve">52 (5): 2538–48.</w:t>
      </w:r>
      <w:r>
        <w:t xml:space="preserve"> </w:t>
      </w:r>
      <w:hyperlink r:id="rId272">
        <w:r>
          <w:rPr>
            <w:rStyle w:val="Hyperlink"/>
          </w:rPr>
          <w:t xml:space="preserve">https://doi.org/10.1021/acs.est.7b05513</w:t>
        </w:r>
      </w:hyperlink>
      <w:r>
        <w:t xml:space="preserve">.</w:t>
      </w:r>
    </w:p>
    <w:bookmarkEnd w:id="273"/>
    <w:bookmarkStart w:id="275"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74">
        <w:r>
          <w:rPr>
            <w:rStyle w:val="Hyperlink"/>
          </w:rPr>
          <w:t xml:space="preserve">https://doi.org/10.1029/2005WR004362</w:t>
        </w:r>
      </w:hyperlink>
      <w:r>
        <w:t xml:space="preserve">.</w:t>
      </w:r>
    </w:p>
    <w:bookmarkEnd w:id="275"/>
    <w:bookmarkStart w:id="277"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76">
        <w:r>
          <w:rPr>
            <w:rStyle w:val="Hyperlink"/>
          </w:rPr>
          <w:t xml:space="preserve">https://doi.org/10.5194/bg-11-3043-2014</w:t>
        </w:r>
      </w:hyperlink>
      <w:r>
        <w:t xml:space="preserve">.</w:t>
      </w:r>
    </w:p>
    <w:bookmarkEnd w:id="277"/>
    <w:bookmarkStart w:id="279" w:name="ref-Laudon2013"/>
    <w:p>
      <w:pPr>
        <w:pStyle w:val="Bibliography"/>
      </w:pPr>
      <w:r>
        <w:t xml:space="preserve">Laudon, Hjalmar, Doerthe Tetzlaff, Chris Soulsby, Sean Carey, Jan Seibert, Jim Buttle, Jamie Shanley, Jeffrey J. Mcdonnell, and Kevin Mcguire. 2013. “Change in winter climate will affect dissolved organic carbon and water fluxes in mid-to-high latitude catchments.”</w:t>
      </w:r>
      <w:r>
        <w:t xml:space="preserve"> </w:t>
      </w:r>
      <w:r>
        <w:rPr>
          <w:i/>
        </w:rPr>
        <w:t xml:space="preserve">Hydrological Processes</w:t>
      </w:r>
      <w:r>
        <w:t xml:space="preserve"> </w:t>
      </w:r>
      <w:r>
        <w:t xml:space="preserve">27 (5): 700–709.</w:t>
      </w:r>
      <w:r>
        <w:t xml:space="preserve"> </w:t>
      </w:r>
      <w:hyperlink r:id="rId278">
        <w:r>
          <w:rPr>
            <w:rStyle w:val="Hyperlink"/>
          </w:rPr>
          <w:t xml:space="preserve">https://doi.org/10.1002/hyp.9686</w:t>
        </w:r>
      </w:hyperlink>
      <w:r>
        <w:t xml:space="preserve">.</w:t>
      </w:r>
    </w:p>
    <w:bookmarkEnd w:id="279"/>
    <w:bookmarkStart w:id="281"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80">
        <w:r>
          <w:rPr>
            <w:rStyle w:val="Hyperlink"/>
          </w:rPr>
          <w:t xml:space="preserve">https://archive.org/details/metaltransportre00lazeuoft/mode/2up</w:t>
        </w:r>
      </w:hyperlink>
      <w:r>
        <w:t xml:space="preserve">.</w:t>
      </w:r>
    </w:p>
    <w:bookmarkEnd w:id="281"/>
    <w:bookmarkStart w:id="283" w:name="ref-Levine2016"/>
    <w:p>
      <w:pPr>
        <w:pStyle w:val="Bibliography"/>
      </w:pPr>
      <w:r>
        <w:t xml:space="preserve">Levine, Audrey D., Y. Jeffrey Yang, and James A. Goodrich. 2016. “Enhancing climate adaptation capacity for drinking water treatment facilities.”</w:t>
      </w:r>
      <w:r>
        <w:t xml:space="preserve"> </w:t>
      </w:r>
      <w:r>
        <w:rPr>
          <w:i/>
        </w:rPr>
        <w:t xml:space="preserve">Journal of Water and Climate Change</w:t>
      </w:r>
      <w:r>
        <w:t xml:space="preserve"> </w:t>
      </w:r>
      <w:r>
        <w:t xml:space="preserve">7 (3): 485–97.</w:t>
      </w:r>
      <w:r>
        <w:t xml:space="preserve"> </w:t>
      </w:r>
      <w:hyperlink r:id="rId282">
        <w:r>
          <w:rPr>
            <w:rStyle w:val="Hyperlink"/>
          </w:rPr>
          <w:t xml:space="preserve">https://doi.org/10.2166/wcc.2016.011</w:t>
        </w:r>
      </w:hyperlink>
      <w:r>
        <w:t xml:space="preserve">.</w:t>
      </w:r>
    </w:p>
    <w:bookmarkEnd w:id="283"/>
    <w:bookmarkStart w:id="285"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84">
        <w:r>
          <w:rPr>
            <w:rStyle w:val="Hyperlink"/>
          </w:rPr>
          <w:t xml:space="preserve">https://doi.org/10.1016/j.jhazmat.2014.02.009</w:t>
        </w:r>
      </w:hyperlink>
      <w:r>
        <w:t xml:space="preserve">.</w:t>
      </w:r>
    </w:p>
    <w:bookmarkEnd w:id="285"/>
    <w:bookmarkStart w:id="287" w:name="ref-Liaw2018"/>
    <w:p>
      <w:pPr>
        <w:pStyle w:val="Bibliography"/>
      </w:pPr>
      <w:r>
        <w:t xml:space="preserve">Liaw, Andy, and Matthew Wiener. 2018. “randomForest: Breiman and Cutler’s Random Forests for Classification and Regression.” CRAN.</w:t>
      </w:r>
      <w:r>
        <w:t xml:space="preserve"> </w:t>
      </w:r>
      <w:hyperlink r:id="rId286">
        <w:r>
          <w:rPr>
            <w:rStyle w:val="Hyperlink"/>
          </w:rPr>
          <w:t xml:space="preserve">https://doi.org/10.1023/A:1010933404324</w:t>
        </w:r>
      </w:hyperlink>
      <w:r>
        <w:t xml:space="preserve">.</w:t>
      </w:r>
    </w:p>
    <w:bookmarkEnd w:id="287"/>
    <w:bookmarkStart w:id="289"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88">
        <w:r>
          <w:rPr>
            <w:rStyle w:val="Hyperlink"/>
          </w:rPr>
          <w:t xml:space="preserve">https://doi.org/10.1002/rra.1504</w:t>
        </w:r>
      </w:hyperlink>
      <w:r>
        <w:t xml:space="preserve">.</w:t>
      </w:r>
    </w:p>
    <w:bookmarkEnd w:id="289"/>
    <w:bookmarkStart w:id="291"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90">
        <w:r>
          <w:rPr>
            <w:rStyle w:val="Hyperlink"/>
          </w:rPr>
          <w:t xml:space="preserve">https://doi.org/10.1016/j.chemosphere.2011.01.018</w:t>
        </w:r>
      </w:hyperlink>
      <w:r>
        <w:t xml:space="preserve">.</w:t>
      </w:r>
    </w:p>
    <w:bookmarkEnd w:id="291"/>
    <w:bookmarkStart w:id="293"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92">
        <w:r>
          <w:rPr>
            <w:rStyle w:val="Hyperlink"/>
          </w:rPr>
          <w:t xml:space="preserve">https://doi.org/10.1016/j.cis.2010.06.007</w:t>
        </w:r>
      </w:hyperlink>
      <w:r>
        <w:t xml:space="preserve">.</w:t>
      </w:r>
    </w:p>
    <w:bookmarkEnd w:id="293"/>
    <w:bookmarkStart w:id="295"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94">
        <w:r>
          <w:rPr>
            <w:rStyle w:val="Hyperlink"/>
          </w:rPr>
          <w:t xml:space="preserve">https://doi.org/10.1007/s10533-018-0482-6</w:t>
        </w:r>
      </w:hyperlink>
      <w:r>
        <w:t xml:space="preserve">.</w:t>
      </w:r>
    </w:p>
    <w:bookmarkEnd w:id="295"/>
    <w:bookmarkStart w:id="297"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96">
        <w:r>
          <w:rPr>
            <w:rStyle w:val="Hyperlink"/>
          </w:rPr>
          <w:t xml:space="preserve">https://www.jstor.org/stable/1937326</w:t>
        </w:r>
      </w:hyperlink>
      <w:r>
        <w:t xml:space="preserve">.</w:t>
      </w:r>
    </w:p>
    <w:bookmarkEnd w:id="297"/>
    <w:bookmarkStart w:id="299"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98">
        <w:r>
          <w:rPr>
            <w:rStyle w:val="Hyperlink"/>
          </w:rPr>
          <w:t xml:space="preserve">https://doi.org/10.14288/1.0387350</w:t>
        </w:r>
      </w:hyperlink>
      <w:r>
        <w:t xml:space="preserve">.</w:t>
      </w:r>
    </w:p>
    <w:bookmarkEnd w:id="299"/>
    <w:bookmarkStart w:id="301"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300">
        <w:r>
          <w:rPr>
            <w:rStyle w:val="Hyperlink"/>
          </w:rPr>
          <w:t xml:space="preserve">https://doi.org/10.1007/s10533-015-0103-6</w:t>
        </w:r>
      </w:hyperlink>
      <w:r>
        <w:t xml:space="preserve">.</w:t>
      </w:r>
    </w:p>
    <w:bookmarkEnd w:id="301"/>
    <w:bookmarkStart w:id="303" w:name="ref-Musolff2018"/>
    <w:p>
      <w:pPr>
        <w:pStyle w:val="Bibliography"/>
      </w:pPr>
      <w:r>
        <w:t xml:space="preserve">Musolff, A., J. H. Fleckenstein, M. Opitz, O. Büttner, R. Kumar, and J. Tittel. 2018. “Spatio-temporal controls of dissolved organic carbon stream water concentrations.”</w:t>
      </w:r>
      <w:r>
        <w:t xml:space="preserve"> </w:t>
      </w:r>
      <w:r>
        <w:rPr>
          <w:i/>
        </w:rPr>
        <w:t xml:space="preserve">Journal of Hydrology</w:t>
      </w:r>
      <w:r>
        <w:t xml:space="preserve"> </w:t>
      </w:r>
      <w:r>
        <w:t xml:space="preserve">566 (November): 205–15.</w:t>
      </w:r>
      <w:r>
        <w:t xml:space="preserve"> </w:t>
      </w:r>
      <w:hyperlink r:id="rId302">
        <w:r>
          <w:rPr>
            <w:rStyle w:val="Hyperlink"/>
          </w:rPr>
          <w:t xml:space="preserve">https://doi.org/10.1016/J.JHYDROL.2018.09.011</w:t>
        </w:r>
      </w:hyperlink>
      <w:r>
        <w:t xml:space="preserve">.</w:t>
      </w:r>
    </w:p>
    <w:bookmarkEnd w:id="303"/>
    <w:bookmarkStart w:id="305"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304">
        <w:r>
          <w:rPr>
            <w:rStyle w:val="Hyperlink"/>
          </w:rPr>
          <w:t xml:space="preserve">https://doi.org/10.1016/j.advwatres.2015.09.026</w:t>
        </w:r>
      </w:hyperlink>
      <w:r>
        <w:t xml:space="preserve">.</w:t>
      </w:r>
    </w:p>
    <w:bookmarkEnd w:id="305"/>
    <w:bookmarkStart w:id="307"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306">
        <w:r>
          <w:rPr>
            <w:rStyle w:val="Hyperlink"/>
          </w:rPr>
          <w:t xml:space="preserve">http://hdl.handle.net/1885/40940</w:t>
        </w:r>
      </w:hyperlink>
      <w:r>
        <w:t xml:space="preserve">.</w:t>
      </w:r>
    </w:p>
    <w:bookmarkEnd w:id="307"/>
    <w:bookmarkStart w:id="309" w:name="ref-Oliver2017"/>
    <w:p>
      <w:pPr>
        <w:pStyle w:val="Bibliography"/>
      </w:pPr>
      <w:r>
        <w:t xml:space="preserve">Oliver, Allison A., Suzanne E. Tank, Ian Giesbrecht, Maartje C. Korver, William C. Floyd, Paul Sanborn, Chuck Bulmer, and Ken P. Lertzman. 2017. “A global hotspot for dissolved organic carbon in hypermaritime watersheds of coastal British Columbia.”</w:t>
      </w:r>
      <w:r>
        <w:t xml:space="preserve"> </w:t>
      </w:r>
      <w:r>
        <w:rPr>
          <w:i/>
        </w:rPr>
        <w:t xml:space="preserve">Biogeosciences</w:t>
      </w:r>
      <w:r>
        <w:t xml:space="preserve"> </w:t>
      </w:r>
      <w:r>
        <w:t xml:space="preserve">14 (15): 3743–62.</w:t>
      </w:r>
      <w:r>
        <w:t xml:space="preserve"> </w:t>
      </w:r>
      <w:hyperlink r:id="rId308">
        <w:r>
          <w:rPr>
            <w:rStyle w:val="Hyperlink"/>
          </w:rPr>
          <w:t xml:space="preserve">https://doi.org/10.5194/bg-14-3743-2017</w:t>
        </w:r>
      </w:hyperlink>
      <w:r>
        <w:t xml:space="preserve">.</w:t>
      </w:r>
    </w:p>
    <w:bookmarkEnd w:id="309"/>
    <w:bookmarkStart w:id="311"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310">
        <w:r>
          <w:rPr>
            <w:rStyle w:val="Hyperlink"/>
          </w:rPr>
          <w:t xml:space="preserve">https://doi.org/10.5194/bg-10-2315-2013</w:t>
        </w:r>
      </w:hyperlink>
      <w:r>
        <w:t xml:space="preserve">.</w:t>
      </w:r>
    </w:p>
    <w:bookmarkEnd w:id="311"/>
    <w:bookmarkStart w:id="313"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312">
        <w:r>
          <w:rPr>
            <w:rStyle w:val="Hyperlink"/>
          </w:rPr>
          <w:t xml:space="preserve">http://www.jstor.com/stable/41295152</w:t>
        </w:r>
      </w:hyperlink>
      <w:r>
        <w:t xml:space="preserve">.</w:t>
      </w:r>
    </w:p>
    <w:bookmarkEnd w:id="313"/>
    <w:bookmarkStart w:id="315"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314">
        <w:r>
          <w:rPr>
            <w:rStyle w:val="Hyperlink"/>
          </w:rPr>
          <w:t xml:space="preserve">https://doi.org/10.1007/s11270-013-1651-9</w:t>
        </w:r>
      </w:hyperlink>
      <w:r>
        <w:t xml:space="preserve">.</w:t>
      </w:r>
    </w:p>
    <w:bookmarkEnd w:id="315"/>
    <w:bookmarkStart w:id="317" w:name="ref-Penna2019"/>
    <w:p>
      <w:pPr>
        <w:pStyle w:val="Bibliography"/>
      </w:pPr>
      <w:r>
        <w:t xml:space="preserve">Penna, Daniele, and H. J. (Ilja) van Meerveld. 2019. “Spatial variability in the isotopic composition of water in small catchments and its effect on hydrograph separation.”</w:t>
      </w:r>
      <w:r>
        <w:t xml:space="preserve"> </w:t>
      </w:r>
      <w:r>
        <w:rPr>
          <w:i/>
        </w:rPr>
        <w:t xml:space="preserve">Wiley Interdisciplinary Reviews: Water</w:t>
      </w:r>
      <w:r>
        <w:t xml:space="preserve"> </w:t>
      </w:r>
      <w:r>
        <w:t xml:space="preserve">6 (5): 1–33.</w:t>
      </w:r>
      <w:r>
        <w:t xml:space="preserve"> </w:t>
      </w:r>
      <w:hyperlink r:id="rId316">
        <w:r>
          <w:rPr>
            <w:rStyle w:val="Hyperlink"/>
          </w:rPr>
          <w:t xml:space="preserve">https://doi.org/10.1002/wat2.1367</w:t>
        </w:r>
      </w:hyperlink>
      <w:r>
        <w:t xml:space="preserve">.</w:t>
      </w:r>
    </w:p>
    <w:bookmarkEnd w:id="317"/>
    <w:bookmarkStart w:id="319"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318">
        <w:r>
          <w:rPr>
            <w:rStyle w:val="Hyperlink"/>
          </w:rPr>
          <w:t xml:space="preserve">https://doi.org/10.1016/S0003-2670(96)00412-6</w:t>
        </w:r>
      </w:hyperlink>
      <w:r>
        <w:t xml:space="preserve">.</w:t>
      </w:r>
    </w:p>
    <w:bookmarkEnd w:id="319"/>
    <w:bookmarkStart w:id="321"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320">
        <w:r>
          <w:rPr>
            <w:rStyle w:val="Hyperlink"/>
          </w:rPr>
          <w:t xml:space="preserve">https://www.for.gov.bc.ca/hfd/pubs/docs/lmh/Lmh66/LMH66{\_}volume2of2.pdf</w:t>
        </w:r>
      </w:hyperlink>
      <w:r>
        <w:t xml:space="preserve">.</w:t>
      </w:r>
    </w:p>
    <w:bookmarkEnd w:id="321"/>
    <w:bookmarkStart w:id="323" w:name="ref-Rasilo2015"/>
    <w:p>
      <w:pPr>
        <w:pStyle w:val="Bibliography"/>
      </w:pPr>
      <w:r>
        <w:t xml:space="preserve">Rasilo, Terhi, Anne Ojala, Jussi Huotari, Mike Starr, and Jukka Pumpanen. 2015. “Concentrations and quality of DOC along the terrestrial-aquatic continuum in a boreal forested catchment.”</w:t>
      </w:r>
      <w:r>
        <w:t xml:space="preserve"> </w:t>
      </w:r>
      <w:r>
        <w:rPr>
          <w:i/>
        </w:rPr>
        <w:t xml:space="preserve">Freshwater Science</w:t>
      </w:r>
      <w:r>
        <w:t xml:space="preserve"> </w:t>
      </w:r>
      <w:r>
        <w:t xml:space="preserve">34 (2): 440–55.</w:t>
      </w:r>
      <w:r>
        <w:t xml:space="preserve"> </w:t>
      </w:r>
      <w:hyperlink r:id="rId322">
        <w:r>
          <w:rPr>
            <w:rStyle w:val="Hyperlink"/>
          </w:rPr>
          <w:t xml:space="preserve">https://doi.org/10.1086/680682</w:t>
        </w:r>
      </w:hyperlink>
      <w:r>
        <w:t xml:space="preserve">.</w:t>
      </w:r>
    </w:p>
    <w:bookmarkEnd w:id="323"/>
    <w:bookmarkStart w:id="32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324"/>
    <w:bookmarkStart w:id="32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325">
        <w:r>
          <w:rPr>
            <w:rStyle w:val="Hyperlink"/>
          </w:rPr>
          <w:t xml:space="preserve">https://doi.org/10.1007/sl0533-010-9416-7</w:t>
        </w:r>
      </w:hyperlink>
      <w:r>
        <w:t xml:space="preserve">.</w:t>
      </w:r>
    </w:p>
    <w:bookmarkEnd w:id="326"/>
    <w:bookmarkStart w:id="32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327">
        <w:r>
          <w:rPr>
            <w:rStyle w:val="Hyperlink"/>
          </w:rPr>
          <w:t xml:space="preserve">https://www.jstor.org/stable/24702986</w:t>
        </w:r>
      </w:hyperlink>
      <w:r>
        <w:t xml:space="preserve">.</w:t>
      </w:r>
    </w:p>
    <w:bookmarkEnd w:id="328"/>
    <w:bookmarkStart w:id="330"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29">
        <w:r>
          <w:rPr>
            <w:rStyle w:val="Hyperlink"/>
          </w:rPr>
          <w:t xml:space="preserve">https://doi.org/10.1016/j.scitotenv.2016.09.113</w:t>
        </w:r>
      </w:hyperlink>
      <w:r>
        <w:t xml:space="preserve">.</w:t>
      </w:r>
    </w:p>
    <w:bookmarkEnd w:id="330"/>
    <w:bookmarkStart w:id="33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31">
        <w:r>
          <w:rPr>
            <w:rStyle w:val="Hyperlink"/>
          </w:rPr>
          <w:t xml:space="preserve">https://doi.org/10.1111/j.1365-2427.2011.02613.x</w:t>
        </w:r>
      </w:hyperlink>
      <w:r>
        <w:t xml:space="preserve">.</w:t>
      </w:r>
    </w:p>
    <w:bookmarkEnd w:id="332"/>
    <w:bookmarkStart w:id="334"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33">
        <w:r>
          <w:rPr>
            <w:rStyle w:val="Hyperlink"/>
          </w:rPr>
          <w:t xml:space="preserve">https://doi.org/10.1186/1471-2105-9-307</w:t>
        </w:r>
      </w:hyperlink>
      <w:r>
        <w:t xml:space="preserve">.</w:t>
      </w:r>
    </w:p>
    <w:bookmarkEnd w:id="334"/>
    <w:bookmarkStart w:id="336"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35">
        <w:r>
          <w:rPr>
            <w:rStyle w:val="Hyperlink"/>
          </w:rPr>
          <w:t xml:space="preserve">https://doi.org/10.1037/a0016973</w:t>
        </w:r>
      </w:hyperlink>
      <w:r>
        <w:t xml:space="preserve">.</w:t>
      </w:r>
    </w:p>
    <w:bookmarkEnd w:id="336"/>
    <w:bookmarkStart w:id="338"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37">
        <w:r>
          <w:rPr>
            <w:rStyle w:val="Hyperlink"/>
          </w:rPr>
          <w:t xml:space="preserve">https://doi.org/10.1016/j.jenvman.2007.03.001</w:t>
        </w:r>
      </w:hyperlink>
      <w:r>
        <w:t xml:space="preserve">.</w:t>
      </w:r>
    </w:p>
    <w:bookmarkEnd w:id="338"/>
    <w:bookmarkStart w:id="340"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39">
        <w:r>
          <w:rPr>
            <w:rStyle w:val="Hyperlink"/>
          </w:rPr>
          <w:t xml:space="preserve">https://doi.org/10.3390</w:t>
        </w:r>
      </w:hyperlink>
      <w:r>
        <w:t xml:space="preserve">.</w:t>
      </w:r>
    </w:p>
    <w:bookmarkEnd w:id="340"/>
    <w:bookmarkStart w:id="34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41"/>
    <w:bookmarkStart w:id="34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42"/>
    <w:bookmarkStart w:id="344"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43">
        <w:r>
          <w:rPr>
            <w:rStyle w:val="Hyperlink"/>
          </w:rPr>
          <w:t xml:space="preserve">https://doi.org/10.1007/s10533-019-00561-w</w:t>
        </w:r>
      </w:hyperlink>
      <w:r>
        <w:t xml:space="preserve">.</w:t>
      </w:r>
    </w:p>
    <w:bookmarkEnd w:id="344"/>
    <w:bookmarkStart w:id="346"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45">
        <w:r>
          <w:rPr>
            <w:rStyle w:val="Hyperlink"/>
          </w:rPr>
          <w:t xml:space="preserve">https://doi.org/10.1007/s10533-008-9207-6</w:t>
        </w:r>
      </w:hyperlink>
      <w:r>
        <w:t xml:space="preserve">.</w:t>
      </w:r>
    </w:p>
    <w:bookmarkEnd w:id="346"/>
    <w:bookmarkStart w:id="348"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47">
        <w:r>
          <w:rPr>
            <w:rStyle w:val="Hyperlink"/>
          </w:rPr>
          <w:t xml:space="preserve">https://doi.org/10.1021/es030360x</w:t>
        </w:r>
      </w:hyperlink>
      <w:r>
        <w:t xml:space="preserve">.</w:t>
      </w:r>
    </w:p>
    <w:bookmarkEnd w:id="348"/>
    <w:bookmarkStart w:id="35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49">
        <w:r>
          <w:rPr>
            <w:rStyle w:val="Hyperlink"/>
          </w:rPr>
          <w:t xml:space="preserve">https://doi.org/10.1007/s11356-015-4078-6</w:t>
        </w:r>
      </w:hyperlink>
      <w:r>
        <w:t xml:space="preserve">.</w:t>
      </w:r>
    </w:p>
    <w:bookmarkEnd w:id="350"/>
    <w:bookmarkStart w:id="352"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51">
        <w:r>
          <w:rPr>
            <w:rStyle w:val="Hyperlink"/>
          </w:rPr>
          <w:t xml:space="preserve">https://doi.org/10.1029/2018GL080005</w:t>
        </w:r>
      </w:hyperlink>
      <w:r>
        <w:t xml:space="preserve">.</w:t>
      </w:r>
    </w:p>
    <w:bookmarkEnd w:id="352"/>
    <w:bookmarkEnd w:id="353"/>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50" Target="media/rId150.png" /><Relationship Type="http://schemas.openxmlformats.org/officeDocument/2006/relationships/image" Id="rId43" Target="media/rId43.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91" Target="media/rId91.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72" Target="media/rId172.png" /><Relationship Type="http://schemas.openxmlformats.org/officeDocument/2006/relationships/image" Id="rId171" Target="media/rId171.png" /><Relationship Type="http://schemas.openxmlformats.org/officeDocument/2006/relationships/image" Id="rId80" Target="media/rId80.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82" Target="media/rId82.png" /><Relationship Type="http://schemas.openxmlformats.org/officeDocument/2006/relationships/image" Id="rId185" Target="media/rId185.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18" Target="media/rId118.png" /><Relationship Type="http://schemas.openxmlformats.org/officeDocument/2006/relationships/image" Id="rId178" Target="media/rId178.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159" Target="media/rId159.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125" Target="media/rId125.png" /><Relationship Type="http://schemas.openxmlformats.org/officeDocument/2006/relationships/image" Id="rId169" Target="media/rId169.png" /><Relationship Type="http://schemas.openxmlformats.org/officeDocument/2006/relationships/image" Id="rId168" Target="media/rId168.png" /><Relationship Type="http://schemas.openxmlformats.org/officeDocument/2006/relationships/hyperlink" Id="rId306" Target="http://hdl.handle.net/1885/40940" TargetMode="External" /><Relationship Type="http://schemas.openxmlformats.org/officeDocument/2006/relationships/hyperlink" Id="rId232" Target="http://scholar.google.com/scholar?hl=en%7B\&amp;%7DbtnG=Search%7B\&amp;%7Dq=intitle:Running+Pure%7B\#%7D1" TargetMode="External" /><Relationship Type="http://schemas.openxmlformats.org/officeDocument/2006/relationships/hyperlink" Id="rId243" Target="http://sis.agr.gc.ca/cansis/soils/bc/soils.html" TargetMode="External" /><Relationship Type="http://schemas.openxmlformats.org/officeDocument/2006/relationships/hyperlink" Id="rId312" Target="http://www.jstor.com/stable/41295152" TargetMode="External" /><Relationship Type="http://schemas.openxmlformats.org/officeDocument/2006/relationships/hyperlink" Id="rId198" Target="http://www.standardmethods.org/" TargetMode="External" /><Relationship Type="http://schemas.openxmlformats.org/officeDocument/2006/relationships/hyperlink" Id="rId280" Target="https://archive.org/details/metaltransportre00lazeuoft/mode/2up" TargetMode="External" /><Relationship Type="http://schemas.openxmlformats.org/officeDocument/2006/relationships/hyperlink" Id="rId237" Target="https://doi.org/10.1002/(SICI)1099-1085(199903)13:4%3C563::AID-HYP711%3E3.0.CO;2-N" TargetMode="External" /><Relationship Type="http://schemas.openxmlformats.org/officeDocument/2006/relationships/hyperlink" Id="rId188" Target="https://doi.org/10.1002/2017WR021578" TargetMode="External" /><Relationship Type="http://schemas.openxmlformats.org/officeDocument/2006/relationships/hyperlink" Id="rId278" Target="https://doi.org/10.1002/hyp.9686" TargetMode="External" /><Relationship Type="http://schemas.openxmlformats.org/officeDocument/2006/relationships/hyperlink" Id="rId190" Target="https://doi.org/10.1002/j.1551-8833.1995.tb06299.x" TargetMode="External" /><Relationship Type="http://schemas.openxmlformats.org/officeDocument/2006/relationships/hyperlink" Id="rId262" Target="https://doi.org/10.1002/j.1551-8833.1995.tb06302.x" TargetMode="External" /><Relationship Type="http://schemas.openxmlformats.org/officeDocument/2006/relationships/hyperlink" Id="rId270" Target="https://doi.org/10.1002/j.1551-8833.2002.tb10250.x" TargetMode="External" /><Relationship Type="http://schemas.openxmlformats.org/officeDocument/2006/relationships/hyperlink" Id="rId288" Target="https://doi.org/10.1002/rra.1504" TargetMode="External" /><Relationship Type="http://schemas.openxmlformats.org/officeDocument/2006/relationships/hyperlink" Id="rId316" Target="https://doi.org/10.1002/wat2.1367" TargetMode="External" /><Relationship Type="http://schemas.openxmlformats.org/officeDocument/2006/relationships/hyperlink" Id="rId218" Target="https://doi.org/10.1007/978-94-007-1363-5" TargetMode="External" /><Relationship Type="http://schemas.openxmlformats.org/officeDocument/2006/relationships/hyperlink" Id="rId345" Target="https://doi.org/10.1007/s10533-008-9207-6" TargetMode="External" /><Relationship Type="http://schemas.openxmlformats.org/officeDocument/2006/relationships/hyperlink" Id="rId300" Target="https://doi.org/10.1007/s10533-015-0103-6" TargetMode="External" /><Relationship Type="http://schemas.openxmlformats.org/officeDocument/2006/relationships/hyperlink" Id="rId294" Target="https://doi.org/10.1007/s10533-018-0482-6" TargetMode="External" /><Relationship Type="http://schemas.openxmlformats.org/officeDocument/2006/relationships/hyperlink" Id="rId343" Target="https://doi.org/10.1007/s10533-019-00561-w" TargetMode="External" /><Relationship Type="http://schemas.openxmlformats.org/officeDocument/2006/relationships/hyperlink" Id="rId314" Target="https://doi.org/10.1007/s11270-013-1651-9" TargetMode="External" /><Relationship Type="http://schemas.openxmlformats.org/officeDocument/2006/relationships/hyperlink" Id="rId349" Target="https://doi.org/10.1007/s11356-015-4078-6" TargetMode="External" /><Relationship Type="http://schemas.openxmlformats.org/officeDocument/2006/relationships/hyperlink" Id="rId204" Target="https://doi.org/10.1007/s11749-016-0481-7" TargetMode="External" /><Relationship Type="http://schemas.openxmlformats.org/officeDocument/2006/relationships/hyperlink" Id="rId325" Target="https://doi.org/10.1007/sl0533-010-9416-7" TargetMode="External" /><Relationship Type="http://schemas.openxmlformats.org/officeDocument/2006/relationships/hyperlink" Id="rId226" Target="https://doi.org/10.1016/B978-0-12-382092-1.00019-1" TargetMode="External" /><Relationship Type="http://schemas.openxmlformats.org/officeDocument/2006/relationships/hyperlink" Id="rId302" Target="https://doi.org/10.1016/J.JHYDROL.2018.09.011" TargetMode="External" /><Relationship Type="http://schemas.openxmlformats.org/officeDocument/2006/relationships/hyperlink" Id="rId318" Target="https://doi.org/10.1016/S0003-2670(96)00412-6" TargetMode="External" /><Relationship Type="http://schemas.openxmlformats.org/officeDocument/2006/relationships/hyperlink" Id="rId304" Target="https://doi.org/10.1016/j.advwatres.2015.09.026" TargetMode="External" /><Relationship Type="http://schemas.openxmlformats.org/officeDocument/2006/relationships/hyperlink" Id="rId290" Target="https://doi.org/10.1016/j.chemosphere.2011.01.018" TargetMode="External" /><Relationship Type="http://schemas.openxmlformats.org/officeDocument/2006/relationships/hyperlink" Id="rId292" Target="https://doi.org/10.1016/j.cis.2010.06.007" TargetMode="External" /><Relationship Type="http://schemas.openxmlformats.org/officeDocument/2006/relationships/hyperlink" Id="rId337" Target="https://doi.org/10.1016/j.jenvman.2007.03.001" TargetMode="External" /><Relationship Type="http://schemas.openxmlformats.org/officeDocument/2006/relationships/hyperlink" Id="rId284" Target="https://doi.org/10.1016/j.jhazmat.2014.02.009" TargetMode="External" /><Relationship Type="http://schemas.openxmlformats.org/officeDocument/2006/relationships/hyperlink" Id="rId194" Target="https://doi.org/10.1016/j.jhydrol.2014.05.060" TargetMode="External" /><Relationship Type="http://schemas.openxmlformats.org/officeDocument/2006/relationships/hyperlink" Id="rId241" Target="https://doi.org/10.1016/j.scitotenv.2007.11.027" TargetMode="External" /><Relationship Type="http://schemas.openxmlformats.org/officeDocument/2006/relationships/hyperlink" Id="rId329" Target="https://doi.org/10.1016/j.scitotenv.2016.09.113" TargetMode="External" /><Relationship Type="http://schemas.openxmlformats.org/officeDocument/2006/relationships/hyperlink" Id="rId234" Target="https://doi.org/10.1016/j.watres.2010.08.051" TargetMode="External" /><Relationship Type="http://schemas.openxmlformats.org/officeDocument/2006/relationships/hyperlink" Id="rId228" Target="https://doi.org/10.1016/j.watres.2016.08.031" TargetMode="External" /><Relationship Type="http://schemas.openxmlformats.org/officeDocument/2006/relationships/hyperlink" Id="rId202" Target="https://doi.org/10.1016/j.watres.2017.12.031" TargetMode="External" /><Relationship Type="http://schemas.openxmlformats.org/officeDocument/2006/relationships/hyperlink" Id="rId264" Target="https://doi.org/10.1017/CBO9781107415379.008" TargetMode="External" /><Relationship Type="http://schemas.openxmlformats.org/officeDocument/2006/relationships/hyperlink" Id="rId272" Target="https://doi.org/10.1021/acs.est.7b05513" TargetMode="External" /><Relationship Type="http://schemas.openxmlformats.org/officeDocument/2006/relationships/hyperlink" Id="rId347" Target="https://doi.org/10.1021/es030360x" TargetMode="External" /><Relationship Type="http://schemas.openxmlformats.org/officeDocument/2006/relationships/hyperlink" Id="rId192" Target="https://doi.org/10.1021/es103992s" TargetMode="External" /><Relationship Type="http://schemas.openxmlformats.org/officeDocument/2006/relationships/hyperlink" Id="rId286" Target="https://doi.org/10.1023/A:1010933404324" TargetMode="External" /><Relationship Type="http://schemas.openxmlformats.org/officeDocument/2006/relationships/hyperlink" Id="rId260" Target="https://doi.org/10.1029/2005JG000082" TargetMode="External" /><Relationship Type="http://schemas.openxmlformats.org/officeDocument/2006/relationships/hyperlink" Id="rId274" Target="https://doi.org/10.1029/2005WR004362" TargetMode="External" /><Relationship Type="http://schemas.openxmlformats.org/officeDocument/2006/relationships/hyperlink" Id="rId196" Target="https://doi.org/10.1029/2007JG000674" TargetMode="External" /><Relationship Type="http://schemas.openxmlformats.org/officeDocument/2006/relationships/hyperlink" Id="rId351" Target="https://doi.org/10.1029/2018GL080005" TargetMode="External" /><Relationship Type="http://schemas.openxmlformats.org/officeDocument/2006/relationships/hyperlink" Id="rId239" Target="https://doi.org/10.1029/97WR01881" TargetMode="External" /><Relationship Type="http://schemas.openxmlformats.org/officeDocument/2006/relationships/hyperlink" Id="rId335" Target="https://doi.org/10.1037/a0016973" TargetMode="External" /><Relationship Type="http://schemas.openxmlformats.org/officeDocument/2006/relationships/hyperlink" Id="rId322" Target="https://doi.org/10.1086/680682" TargetMode="External" /><Relationship Type="http://schemas.openxmlformats.org/officeDocument/2006/relationships/hyperlink" Id="rId186" Target="https://doi.org/10.1111/ele.12897" TargetMode="External" /><Relationship Type="http://schemas.openxmlformats.org/officeDocument/2006/relationships/hyperlink" Id="rId331" Target="https://doi.org/10.1111/j.1365-2427.2011.02613.x" TargetMode="External" /><Relationship Type="http://schemas.openxmlformats.org/officeDocument/2006/relationships/hyperlink" Id="rId224" Target="https://doi.org/10.1139/cjfas-2014-0400" TargetMode="External" /><Relationship Type="http://schemas.openxmlformats.org/officeDocument/2006/relationships/hyperlink" Id="rId333" Target="https://doi.org/10.1186/1471-2105-9-307" TargetMode="External" /><Relationship Type="http://schemas.openxmlformats.org/officeDocument/2006/relationships/hyperlink" Id="rId206" Target="https://doi.org/10.1201/9780367816377-11" TargetMode="External" /><Relationship Type="http://schemas.openxmlformats.org/officeDocument/2006/relationships/hyperlink" Id="rId248" Target="https://doi.org/10.13031/2013.15662" TargetMode="External" /><Relationship Type="http://schemas.openxmlformats.org/officeDocument/2006/relationships/hyperlink" Id="rId298" Target="https://doi.org/10.14288/1.0387350" TargetMode="External" /><Relationship Type="http://schemas.openxmlformats.org/officeDocument/2006/relationships/hyperlink" Id="rId200" Target="https://doi.org/10.2105/SMWW.2882.113" TargetMode="External" /><Relationship Type="http://schemas.openxmlformats.org/officeDocument/2006/relationships/hyperlink" Id="rId216" Target="https://doi.org/10.2166/aqua.2008.064" TargetMode="External" /><Relationship Type="http://schemas.openxmlformats.org/officeDocument/2006/relationships/hyperlink" Id="rId282" Target="https://doi.org/10.2166/wcc.2016.011" TargetMode="External" /><Relationship Type="http://schemas.openxmlformats.org/officeDocument/2006/relationships/hyperlink" Id="rId245" Target="https://doi.org/10.3133/fs06700" TargetMode="External" /><Relationship Type="http://schemas.openxmlformats.org/officeDocument/2006/relationships/hyperlink" Id="rId339" Target="https://doi.org/10.3390" TargetMode="External" /><Relationship Type="http://schemas.openxmlformats.org/officeDocument/2006/relationships/hyperlink" Id="rId310" Target="https://doi.org/10.5194/bg-10-2315-2013" TargetMode="External" /><Relationship Type="http://schemas.openxmlformats.org/officeDocument/2006/relationships/hyperlink" Id="rId276" Target="https://doi.org/10.5194/bg-11-3043-2014" TargetMode="External" /><Relationship Type="http://schemas.openxmlformats.org/officeDocument/2006/relationships/hyperlink" Id="rId308" Target="https://doi.org/10.5194/bg-14-3743-2017" TargetMode="External" /><Relationship Type="http://schemas.openxmlformats.org/officeDocument/2006/relationships/hyperlink" Id="rId222" Target="https://doi.org/IWSS-297445977-5079" TargetMode="External" /><Relationship Type="http://schemas.openxmlformats.org/officeDocument/2006/relationships/hyperlink" Id="rId266" Target="https://doi.org/doi:10.1046/j.1365-2427.1997.d01-539.x" TargetMode="External" /><Relationship Type="http://schemas.openxmlformats.org/officeDocument/2006/relationships/hyperlink" Id="rId230" Target="https://pubs.er.usgs.gov/publication/sir20075282" TargetMode="External" /><Relationship Type="http://schemas.openxmlformats.org/officeDocument/2006/relationships/hyperlink" Id="rId211" Target="https://soilsofcanada.ca" TargetMode="External" /><Relationship Type="http://schemas.openxmlformats.org/officeDocument/2006/relationships/hyperlink" Id="rId250" Target="https://www.canada.ca/content/dam/hc-sc/documents/programs/consultation-organic-matter-drinking-water/NOM20190129-eng.pdf" TargetMode="External" /><Relationship Type="http://schemas.openxmlformats.org/officeDocument/2006/relationships/hyperlink" Id="rId252" Target="https://www.canada.ca/content/dam/hc-sc/migration/hc-sc/ewh-semt/alt%7B\_%7Dformats/pdf/pubs/water-eau/sum%7B\_%7Dguide-res%7B\_%7Drecom/summary-table-August-15-2019-eng.pdf" TargetMode="External" /><Relationship Type="http://schemas.openxmlformats.org/officeDocument/2006/relationships/hyperlink" Id="rId254" Target="https://www.canada.ca/en/health-canada/services/healthy-living/your-health/environment/drinking-water-chlorination.html" TargetMode="External" /><Relationship Type="http://schemas.openxmlformats.org/officeDocument/2006/relationships/hyperlink" Id="rId220" Target="https://www.crd.bc.ca/project/past-capital-projects-and-initiatives/water-supply-plan" TargetMode="External" /><Relationship Type="http://schemas.openxmlformats.org/officeDocument/2006/relationships/hyperlink" Id="rId213" Target="https://www.crd.bc.ca/service/public-tours/watershed-tours/facts-figures" TargetMode="External" /><Relationship Type="http://schemas.openxmlformats.org/officeDocument/2006/relationships/hyperlink" Id="rId32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6" Target="https://www.healthlinkbc.ca/healthlinkbc-files/drinking-water-chlorination" TargetMode="External" /><Relationship Type="http://schemas.openxmlformats.org/officeDocument/2006/relationships/hyperlink" Id="rId296" Target="https://www.jstor.org/stable/1937326" TargetMode="External" /><Relationship Type="http://schemas.openxmlformats.org/officeDocument/2006/relationships/hyperlink" Id="rId327" Target="https://www.jstor.org/stable/24702986" TargetMode="External" /><Relationship Type="http://schemas.openxmlformats.org/officeDocument/2006/relationships/hyperlink" Id="rId258" Target="https://www.jstor.org/stable/40058211" TargetMode="External" /><Relationship Type="http://schemas.openxmlformats.org/officeDocument/2006/relationships/hyperlink" Id="rId268" Target="https://www.jstor.org/stable/41311011" TargetMode="External" /><Relationship Type="http://schemas.openxmlformats.org/officeDocument/2006/relationships/hyperlink" Id="rId20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306" Target="http://hdl.handle.net/1885/40940" TargetMode="External" /><Relationship Type="http://schemas.openxmlformats.org/officeDocument/2006/relationships/hyperlink" Id="rId232" Target="http://scholar.google.com/scholar?hl=en%7B\&amp;%7DbtnG=Search%7B\&amp;%7Dq=intitle:Running+Pure%7B\#%7D1" TargetMode="External" /><Relationship Type="http://schemas.openxmlformats.org/officeDocument/2006/relationships/hyperlink" Id="rId243" Target="http://sis.agr.gc.ca/cansis/soils/bc/soils.html" TargetMode="External" /><Relationship Type="http://schemas.openxmlformats.org/officeDocument/2006/relationships/hyperlink" Id="rId312" Target="http://www.jstor.com/stable/41295152" TargetMode="External" /><Relationship Type="http://schemas.openxmlformats.org/officeDocument/2006/relationships/hyperlink" Id="rId198" Target="http://www.standardmethods.org/" TargetMode="External" /><Relationship Type="http://schemas.openxmlformats.org/officeDocument/2006/relationships/hyperlink" Id="rId280" Target="https://archive.org/details/metaltransportre00lazeuoft/mode/2up" TargetMode="External" /><Relationship Type="http://schemas.openxmlformats.org/officeDocument/2006/relationships/hyperlink" Id="rId237" Target="https://doi.org/10.1002/(SICI)1099-1085(199903)13:4%3C563::AID-HYP711%3E3.0.CO;2-N" TargetMode="External" /><Relationship Type="http://schemas.openxmlformats.org/officeDocument/2006/relationships/hyperlink" Id="rId188" Target="https://doi.org/10.1002/2017WR021578" TargetMode="External" /><Relationship Type="http://schemas.openxmlformats.org/officeDocument/2006/relationships/hyperlink" Id="rId278" Target="https://doi.org/10.1002/hyp.9686" TargetMode="External" /><Relationship Type="http://schemas.openxmlformats.org/officeDocument/2006/relationships/hyperlink" Id="rId190" Target="https://doi.org/10.1002/j.1551-8833.1995.tb06299.x" TargetMode="External" /><Relationship Type="http://schemas.openxmlformats.org/officeDocument/2006/relationships/hyperlink" Id="rId262" Target="https://doi.org/10.1002/j.1551-8833.1995.tb06302.x" TargetMode="External" /><Relationship Type="http://schemas.openxmlformats.org/officeDocument/2006/relationships/hyperlink" Id="rId270" Target="https://doi.org/10.1002/j.1551-8833.2002.tb10250.x" TargetMode="External" /><Relationship Type="http://schemas.openxmlformats.org/officeDocument/2006/relationships/hyperlink" Id="rId288" Target="https://doi.org/10.1002/rra.1504" TargetMode="External" /><Relationship Type="http://schemas.openxmlformats.org/officeDocument/2006/relationships/hyperlink" Id="rId316" Target="https://doi.org/10.1002/wat2.1367" TargetMode="External" /><Relationship Type="http://schemas.openxmlformats.org/officeDocument/2006/relationships/hyperlink" Id="rId218" Target="https://doi.org/10.1007/978-94-007-1363-5" TargetMode="External" /><Relationship Type="http://schemas.openxmlformats.org/officeDocument/2006/relationships/hyperlink" Id="rId345" Target="https://doi.org/10.1007/s10533-008-9207-6" TargetMode="External" /><Relationship Type="http://schemas.openxmlformats.org/officeDocument/2006/relationships/hyperlink" Id="rId300" Target="https://doi.org/10.1007/s10533-015-0103-6" TargetMode="External" /><Relationship Type="http://schemas.openxmlformats.org/officeDocument/2006/relationships/hyperlink" Id="rId294" Target="https://doi.org/10.1007/s10533-018-0482-6" TargetMode="External" /><Relationship Type="http://schemas.openxmlformats.org/officeDocument/2006/relationships/hyperlink" Id="rId343" Target="https://doi.org/10.1007/s10533-019-00561-w" TargetMode="External" /><Relationship Type="http://schemas.openxmlformats.org/officeDocument/2006/relationships/hyperlink" Id="rId314" Target="https://doi.org/10.1007/s11270-013-1651-9" TargetMode="External" /><Relationship Type="http://schemas.openxmlformats.org/officeDocument/2006/relationships/hyperlink" Id="rId349" Target="https://doi.org/10.1007/s11356-015-4078-6" TargetMode="External" /><Relationship Type="http://schemas.openxmlformats.org/officeDocument/2006/relationships/hyperlink" Id="rId204" Target="https://doi.org/10.1007/s11749-016-0481-7" TargetMode="External" /><Relationship Type="http://schemas.openxmlformats.org/officeDocument/2006/relationships/hyperlink" Id="rId325" Target="https://doi.org/10.1007/sl0533-010-9416-7" TargetMode="External" /><Relationship Type="http://schemas.openxmlformats.org/officeDocument/2006/relationships/hyperlink" Id="rId226" Target="https://doi.org/10.1016/B978-0-12-382092-1.00019-1" TargetMode="External" /><Relationship Type="http://schemas.openxmlformats.org/officeDocument/2006/relationships/hyperlink" Id="rId302" Target="https://doi.org/10.1016/J.JHYDROL.2018.09.011" TargetMode="External" /><Relationship Type="http://schemas.openxmlformats.org/officeDocument/2006/relationships/hyperlink" Id="rId318" Target="https://doi.org/10.1016/S0003-2670(96)00412-6" TargetMode="External" /><Relationship Type="http://schemas.openxmlformats.org/officeDocument/2006/relationships/hyperlink" Id="rId304" Target="https://doi.org/10.1016/j.advwatres.2015.09.026" TargetMode="External" /><Relationship Type="http://schemas.openxmlformats.org/officeDocument/2006/relationships/hyperlink" Id="rId290" Target="https://doi.org/10.1016/j.chemosphere.2011.01.018" TargetMode="External" /><Relationship Type="http://schemas.openxmlformats.org/officeDocument/2006/relationships/hyperlink" Id="rId292" Target="https://doi.org/10.1016/j.cis.2010.06.007" TargetMode="External" /><Relationship Type="http://schemas.openxmlformats.org/officeDocument/2006/relationships/hyperlink" Id="rId337" Target="https://doi.org/10.1016/j.jenvman.2007.03.001" TargetMode="External" /><Relationship Type="http://schemas.openxmlformats.org/officeDocument/2006/relationships/hyperlink" Id="rId284" Target="https://doi.org/10.1016/j.jhazmat.2014.02.009" TargetMode="External" /><Relationship Type="http://schemas.openxmlformats.org/officeDocument/2006/relationships/hyperlink" Id="rId194" Target="https://doi.org/10.1016/j.jhydrol.2014.05.060" TargetMode="External" /><Relationship Type="http://schemas.openxmlformats.org/officeDocument/2006/relationships/hyperlink" Id="rId241" Target="https://doi.org/10.1016/j.scitotenv.2007.11.027" TargetMode="External" /><Relationship Type="http://schemas.openxmlformats.org/officeDocument/2006/relationships/hyperlink" Id="rId329" Target="https://doi.org/10.1016/j.scitotenv.2016.09.113" TargetMode="External" /><Relationship Type="http://schemas.openxmlformats.org/officeDocument/2006/relationships/hyperlink" Id="rId234" Target="https://doi.org/10.1016/j.watres.2010.08.051" TargetMode="External" /><Relationship Type="http://schemas.openxmlformats.org/officeDocument/2006/relationships/hyperlink" Id="rId228" Target="https://doi.org/10.1016/j.watres.2016.08.031" TargetMode="External" /><Relationship Type="http://schemas.openxmlformats.org/officeDocument/2006/relationships/hyperlink" Id="rId202" Target="https://doi.org/10.1016/j.watres.2017.12.031" TargetMode="External" /><Relationship Type="http://schemas.openxmlformats.org/officeDocument/2006/relationships/hyperlink" Id="rId264" Target="https://doi.org/10.1017/CBO9781107415379.008" TargetMode="External" /><Relationship Type="http://schemas.openxmlformats.org/officeDocument/2006/relationships/hyperlink" Id="rId272" Target="https://doi.org/10.1021/acs.est.7b05513" TargetMode="External" /><Relationship Type="http://schemas.openxmlformats.org/officeDocument/2006/relationships/hyperlink" Id="rId347" Target="https://doi.org/10.1021/es030360x" TargetMode="External" /><Relationship Type="http://schemas.openxmlformats.org/officeDocument/2006/relationships/hyperlink" Id="rId192" Target="https://doi.org/10.1021/es103992s" TargetMode="External" /><Relationship Type="http://schemas.openxmlformats.org/officeDocument/2006/relationships/hyperlink" Id="rId286" Target="https://doi.org/10.1023/A:1010933404324" TargetMode="External" /><Relationship Type="http://schemas.openxmlformats.org/officeDocument/2006/relationships/hyperlink" Id="rId260" Target="https://doi.org/10.1029/2005JG000082" TargetMode="External" /><Relationship Type="http://schemas.openxmlformats.org/officeDocument/2006/relationships/hyperlink" Id="rId274" Target="https://doi.org/10.1029/2005WR004362" TargetMode="External" /><Relationship Type="http://schemas.openxmlformats.org/officeDocument/2006/relationships/hyperlink" Id="rId196" Target="https://doi.org/10.1029/2007JG000674" TargetMode="External" /><Relationship Type="http://schemas.openxmlformats.org/officeDocument/2006/relationships/hyperlink" Id="rId351" Target="https://doi.org/10.1029/2018GL080005" TargetMode="External" /><Relationship Type="http://schemas.openxmlformats.org/officeDocument/2006/relationships/hyperlink" Id="rId239" Target="https://doi.org/10.1029/97WR01881" TargetMode="External" /><Relationship Type="http://schemas.openxmlformats.org/officeDocument/2006/relationships/hyperlink" Id="rId335" Target="https://doi.org/10.1037/a0016973" TargetMode="External" /><Relationship Type="http://schemas.openxmlformats.org/officeDocument/2006/relationships/hyperlink" Id="rId322" Target="https://doi.org/10.1086/680682" TargetMode="External" /><Relationship Type="http://schemas.openxmlformats.org/officeDocument/2006/relationships/hyperlink" Id="rId186" Target="https://doi.org/10.1111/ele.12897" TargetMode="External" /><Relationship Type="http://schemas.openxmlformats.org/officeDocument/2006/relationships/hyperlink" Id="rId331" Target="https://doi.org/10.1111/j.1365-2427.2011.02613.x" TargetMode="External" /><Relationship Type="http://schemas.openxmlformats.org/officeDocument/2006/relationships/hyperlink" Id="rId224" Target="https://doi.org/10.1139/cjfas-2014-0400" TargetMode="External" /><Relationship Type="http://schemas.openxmlformats.org/officeDocument/2006/relationships/hyperlink" Id="rId333" Target="https://doi.org/10.1186/1471-2105-9-307" TargetMode="External" /><Relationship Type="http://schemas.openxmlformats.org/officeDocument/2006/relationships/hyperlink" Id="rId206" Target="https://doi.org/10.1201/9780367816377-11" TargetMode="External" /><Relationship Type="http://schemas.openxmlformats.org/officeDocument/2006/relationships/hyperlink" Id="rId248" Target="https://doi.org/10.13031/2013.15662" TargetMode="External" /><Relationship Type="http://schemas.openxmlformats.org/officeDocument/2006/relationships/hyperlink" Id="rId298" Target="https://doi.org/10.14288/1.0387350" TargetMode="External" /><Relationship Type="http://schemas.openxmlformats.org/officeDocument/2006/relationships/hyperlink" Id="rId200" Target="https://doi.org/10.2105/SMWW.2882.113" TargetMode="External" /><Relationship Type="http://schemas.openxmlformats.org/officeDocument/2006/relationships/hyperlink" Id="rId216" Target="https://doi.org/10.2166/aqua.2008.064" TargetMode="External" /><Relationship Type="http://schemas.openxmlformats.org/officeDocument/2006/relationships/hyperlink" Id="rId282" Target="https://doi.org/10.2166/wcc.2016.011" TargetMode="External" /><Relationship Type="http://schemas.openxmlformats.org/officeDocument/2006/relationships/hyperlink" Id="rId245" Target="https://doi.org/10.3133/fs06700" TargetMode="External" /><Relationship Type="http://schemas.openxmlformats.org/officeDocument/2006/relationships/hyperlink" Id="rId339" Target="https://doi.org/10.3390" TargetMode="External" /><Relationship Type="http://schemas.openxmlformats.org/officeDocument/2006/relationships/hyperlink" Id="rId310" Target="https://doi.org/10.5194/bg-10-2315-2013" TargetMode="External" /><Relationship Type="http://schemas.openxmlformats.org/officeDocument/2006/relationships/hyperlink" Id="rId276" Target="https://doi.org/10.5194/bg-11-3043-2014" TargetMode="External" /><Relationship Type="http://schemas.openxmlformats.org/officeDocument/2006/relationships/hyperlink" Id="rId308" Target="https://doi.org/10.5194/bg-14-3743-2017" TargetMode="External" /><Relationship Type="http://schemas.openxmlformats.org/officeDocument/2006/relationships/hyperlink" Id="rId222" Target="https://doi.org/IWSS-297445977-5079" TargetMode="External" /><Relationship Type="http://schemas.openxmlformats.org/officeDocument/2006/relationships/hyperlink" Id="rId266" Target="https://doi.org/doi:10.1046/j.1365-2427.1997.d01-539.x" TargetMode="External" /><Relationship Type="http://schemas.openxmlformats.org/officeDocument/2006/relationships/hyperlink" Id="rId230" Target="https://pubs.er.usgs.gov/publication/sir20075282" TargetMode="External" /><Relationship Type="http://schemas.openxmlformats.org/officeDocument/2006/relationships/hyperlink" Id="rId211" Target="https://soilsofcanada.ca" TargetMode="External" /><Relationship Type="http://schemas.openxmlformats.org/officeDocument/2006/relationships/hyperlink" Id="rId250" Target="https://www.canada.ca/content/dam/hc-sc/documents/programs/consultation-organic-matter-drinking-water/NOM20190129-eng.pdf" TargetMode="External" /><Relationship Type="http://schemas.openxmlformats.org/officeDocument/2006/relationships/hyperlink" Id="rId252" Target="https://www.canada.ca/content/dam/hc-sc/migration/hc-sc/ewh-semt/alt%7B\_%7Dformats/pdf/pubs/water-eau/sum%7B\_%7Dguide-res%7B\_%7Drecom/summary-table-August-15-2019-eng.pdf" TargetMode="External" /><Relationship Type="http://schemas.openxmlformats.org/officeDocument/2006/relationships/hyperlink" Id="rId254" Target="https://www.canada.ca/en/health-canada/services/healthy-living/your-health/environment/drinking-water-chlorination.html" TargetMode="External" /><Relationship Type="http://schemas.openxmlformats.org/officeDocument/2006/relationships/hyperlink" Id="rId220" Target="https://www.crd.bc.ca/project/past-capital-projects-and-initiatives/water-supply-plan" TargetMode="External" /><Relationship Type="http://schemas.openxmlformats.org/officeDocument/2006/relationships/hyperlink" Id="rId213" Target="https://www.crd.bc.ca/service/public-tours/watershed-tours/facts-figures" TargetMode="External" /><Relationship Type="http://schemas.openxmlformats.org/officeDocument/2006/relationships/hyperlink" Id="rId32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6" Target="https://www.healthlinkbc.ca/healthlinkbc-files/drinking-water-chlorination" TargetMode="External" /><Relationship Type="http://schemas.openxmlformats.org/officeDocument/2006/relationships/hyperlink" Id="rId296" Target="https://www.jstor.org/stable/1937326" TargetMode="External" /><Relationship Type="http://schemas.openxmlformats.org/officeDocument/2006/relationships/hyperlink" Id="rId327" Target="https://www.jstor.org/stable/24702986" TargetMode="External" /><Relationship Type="http://schemas.openxmlformats.org/officeDocument/2006/relationships/hyperlink" Id="rId258" Target="https://www.jstor.org/stable/40058211" TargetMode="External" /><Relationship Type="http://schemas.openxmlformats.org/officeDocument/2006/relationships/hyperlink" Id="rId268" Target="https://www.jstor.org/stable/41311011" TargetMode="External" /><Relationship Type="http://schemas.openxmlformats.org/officeDocument/2006/relationships/hyperlink" Id="rId20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32</Pages>
  <Words>3145</Words>
  <Characters>17930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21033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the Leech River watershed, a second growth forested drinking water supply area on Vancouver Island, BC</dc:title>
  <dc:creator>Hannah J. McSorley</dc:creator>
  <cp:keywords/>
  <dcterms:created xsi:type="dcterms:W3CDTF">2020-10-19T22:52:06Z</dcterms:created>
  <dcterms:modified xsi:type="dcterms:W3CDTF">2020-10-19T22:52:06Z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